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459" w:rsidRPr="00432459" w:rsidRDefault="00432459" w:rsidP="00432459">
      <w:pPr>
        <w:pStyle w:val="a3"/>
        <w:shd w:val="clear" w:color="auto" w:fill="FFFFFF"/>
        <w:spacing w:before="0" w:beforeAutospacing="0" w:after="0" w:afterAutospacing="0"/>
        <w:jc w:val="center"/>
        <w:textAlignment w:val="baseline"/>
        <w:rPr>
          <w:color w:val="000000"/>
          <w:sz w:val="28"/>
          <w:szCs w:val="28"/>
        </w:rPr>
      </w:pPr>
      <w:r w:rsidRPr="00432459">
        <w:rPr>
          <w:b/>
          <w:bCs/>
          <w:color w:val="000000"/>
          <w:sz w:val="28"/>
          <w:szCs w:val="28"/>
          <w:bdr w:val="none" w:sz="0" w:space="0" w:color="auto" w:frame="1"/>
        </w:rPr>
        <w:t>ДОКЛАД </w:t>
      </w:r>
    </w:p>
    <w:p w:rsidR="00432459" w:rsidRPr="00432459" w:rsidRDefault="00432459" w:rsidP="00432459">
      <w:pPr>
        <w:pStyle w:val="a3"/>
        <w:shd w:val="clear" w:color="auto" w:fill="FFFFFF"/>
        <w:spacing w:before="0" w:beforeAutospacing="0" w:after="0" w:afterAutospacing="0"/>
        <w:jc w:val="center"/>
        <w:textAlignment w:val="baseline"/>
        <w:rPr>
          <w:color w:val="000000"/>
          <w:sz w:val="28"/>
          <w:szCs w:val="28"/>
        </w:rPr>
      </w:pPr>
      <w:r w:rsidRPr="00432459">
        <w:rPr>
          <w:b/>
          <w:bCs/>
          <w:color w:val="000000"/>
          <w:sz w:val="28"/>
          <w:szCs w:val="28"/>
          <w:bdr w:val="none" w:sz="0" w:space="0" w:color="auto" w:frame="1"/>
        </w:rPr>
        <w:t>к Общественным слушаниям 20.12.2017г.</w:t>
      </w:r>
    </w:p>
    <w:p w:rsidR="00432459" w:rsidRPr="00432459" w:rsidRDefault="00432459" w:rsidP="00432459">
      <w:pPr>
        <w:pStyle w:val="a3"/>
        <w:shd w:val="clear" w:color="auto" w:fill="FFFFFF"/>
        <w:spacing w:before="0" w:beforeAutospacing="0" w:after="75" w:afterAutospacing="0"/>
        <w:jc w:val="center"/>
        <w:textAlignment w:val="baseline"/>
        <w:rPr>
          <w:color w:val="000000"/>
          <w:sz w:val="28"/>
          <w:szCs w:val="28"/>
        </w:rPr>
      </w:pPr>
      <w:r w:rsidRPr="00432459">
        <w:rPr>
          <w:color w:val="000000"/>
          <w:sz w:val="28"/>
          <w:szCs w:val="28"/>
        </w:rPr>
        <w:t> </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В рамках проводимой реформы контрольной и надзорной деятельности и в целях формирования позиции антимонопольного органа Президиумом Федеральной антимонопольной службы 11 октября 2017 года утверждены Разъяснения по определению размера убытков, причиненных в результате нарушения антимонопольного законодательства (утверждены Протоколом Президиума ФАС России № 20).</w:t>
      </w:r>
    </w:p>
    <w:p w:rsidR="00432459" w:rsidRPr="00432459" w:rsidRDefault="00432459" w:rsidP="00432459">
      <w:pPr>
        <w:pStyle w:val="a3"/>
        <w:shd w:val="clear" w:color="auto" w:fill="FFFFFF"/>
        <w:spacing w:before="0" w:beforeAutospacing="0" w:after="0" w:afterAutospacing="0"/>
        <w:jc w:val="both"/>
        <w:textAlignment w:val="baseline"/>
        <w:rPr>
          <w:color w:val="000000"/>
          <w:sz w:val="28"/>
          <w:szCs w:val="28"/>
        </w:rPr>
      </w:pPr>
      <w:proofErr w:type="gramStart"/>
      <w:r w:rsidRPr="00432459">
        <w:rPr>
          <w:color w:val="000000"/>
          <w:sz w:val="28"/>
          <w:szCs w:val="28"/>
        </w:rPr>
        <w:t>Данные Разъяснения даны для территориальных органов ФАС России в случае привлечения территориального органа к участию в деле, рассматриваемом в суде, могут использоваться при рассмотрении дел о нарушении антимонопольного законодательства и также могут быть использованы в целях определения размера ущерба, причиненного нарушениями антимонопольного законодательства, как обстоятельства, отягчающего административную ответственность по </w:t>
      </w:r>
      <w:hyperlink r:id="rId5" w:history="1">
        <w:r w:rsidRPr="00432459">
          <w:rPr>
            <w:rStyle w:val="a4"/>
            <w:color w:val="007085"/>
            <w:sz w:val="28"/>
            <w:szCs w:val="28"/>
            <w:u w:val="none"/>
            <w:bdr w:val="none" w:sz="0" w:space="0" w:color="auto" w:frame="1"/>
          </w:rPr>
          <w:t>статьям 14.31</w:t>
        </w:r>
      </w:hyperlink>
      <w:r w:rsidRPr="00432459">
        <w:rPr>
          <w:color w:val="000000"/>
          <w:sz w:val="28"/>
          <w:szCs w:val="28"/>
        </w:rPr>
        <w:t>, </w:t>
      </w:r>
      <w:hyperlink r:id="rId6" w:history="1">
        <w:r w:rsidRPr="00432459">
          <w:rPr>
            <w:rStyle w:val="a4"/>
            <w:color w:val="007085"/>
            <w:sz w:val="28"/>
            <w:szCs w:val="28"/>
            <w:u w:val="none"/>
            <w:bdr w:val="none" w:sz="0" w:space="0" w:color="auto" w:frame="1"/>
          </w:rPr>
          <w:t>14.31.2</w:t>
        </w:r>
      </w:hyperlink>
      <w:r w:rsidRPr="00432459">
        <w:rPr>
          <w:color w:val="000000"/>
          <w:sz w:val="28"/>
          <w:szCs w:val="28"/>
        </w:rPr>
        <w:t>, </w:t>
      </w:r>
      <w:hyperlink r:id="rId7" w:history="1">
        <w:r w:rsidRPr="00432459">
          <w:rPr>
            <w:rStyle w:val="a4"/>
            <w:color w:val="007085"/>
            <w:sz w:val="28"/>
            <w:szCs w:val="28"/>
            <w:u w:val="none"/>
            <w:bdr w:val="none" w:sz="0" w:space="0" w:color="auto" w:frame="1"/>
          </w:rPr>
          <w:t>14.32</w:t>
        </w:r>
      </w:hyperlink>
      <w:r w:rsidRPr="00432459">
        <w:rPr>
          <w:color w:val="000000"/>
          <w:sz w:val="28"/>
          <w:szCs w:val="28"/>
        </w:rPr>
        <w:t>, </w:t>
      </w:r>
      <w:hyperlink r:id="rId8" w:history="1">
        <w:r w:rsidRPr="00432459">
          <w:rPr>
            <w:rStyle w:val="a4"/>
            <w:color w:val="007085"/>
            <w:sz w:val="28"/>
            <w:szCs w:val="28"/>
            <w:u w:val="none"/>
            <w:bdr w:val="none" w:sz="0" w:space="0" w:color="auto" w:frame="1"/>
          </w:rPr>
          <w:t>14.33</w:t>
        </w:r>
      </w:hyperlink>
      <w:r w:rsidRPr="00432459">
        <w:rPr>
          <w:color w:val="000000"/>
          <w:sz w:val="28"/>
          <w:szCs w:val="28"/>
        </w:rPr>
        <w:t> Кодекса Российской Федерации об административных правонарушениях.</w:t>
      </w:r>
      <w:proofErr w:type="gramEnd"/>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Кроме того, настоящие Разъяснения могут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xml:space="preserve">Разъяснения обобщают большинство существующих методик определения убытков, сформированных по итогам </w:t>
      </w:r>
      <w:proofErr w:type="gramStart"/>
      <w:r w:rsidRPr="00432459">
        <w:rPr>
          <w:color w:val="000000"/>
          <w:sz w:val="28"/>
          <w:szCs w:val="28"/>
        </w:rPr>
        <w:t>исследования</w:t>
      </w:r>
      <w:proofErr w:type="gramEnd"/>
      <w:r w:rsidRPr="00432459">
        <w:rPr>
          <w:color w:val="000000"/>
          <w:sz w:val="28"/>
          <w:szCs w:val="28"/>
        </w:rPr>
        <w:t xml:space="preserve"> как российской правоприменительной практики, так и зарубежного опыта.</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w:t>
      </w:r>
    </w:p>
    <w:p w:rsidR="00432459" w:rsidRPr="00432459" w:rsidRDefault="00432459" w:rsidP="00432459">
      <w:pPr>
        <w:pStyle w:val="a3"/>
        <w:shd w:val="clear" w:color="auto" w:fill="FFFFFF"/>
        <w:spacing w:before="0" w:beforeAutospacing="0" w:after="75" w:afterAutospacing="0"/>
        <w:jc w:val="center"/>
        <w:textAlignment w:val="baseline"/>
        <w:rPr>
          <w:color w:val="000000"/>
          <w:sz w:val="28"/>
          <w:szCs w:val="28"/>
        </w:rPr>
      </w:pPr>
      <w:r w:rsidRPr="00432459">
        <w:rPr>
          <w:color w:val="000000"/>
          <w:sz w:val="28"/>
          <w:szCs w:val="28"/>
        </w:rPr>
        <w:t>1. Общие положения</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1.1. Возмещение убытков как способ защиты прав и законных интересов лица, пострадавшего от нарушения антимонопольного законодательства.</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Нарушение антимонопольного законодательства одними лицами может повлечь негативные последствия для других лиц.</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xml:space="preserve">Иск о возмещении </w:t>
      </w:r>
      <w:proofErr w:type="gramStart"/>
      <w:r w:rsidRPr="00432459">
        <w:rPr>
          <w:color w:val="000000"/>
          <w:sz w:val="28"/>
          <w:szCs w:val="28"/>
        </w:rPr>
        <w:t xml:space="preserve">убытков, причиненных совершением </w:t>
      </w:r>
      <w:proofErr w:type="spellStart"/>
      <w:r w:rsidRPr="00432459">
        <w:rPr>
          <w:color w:val="000000"/>
          <w:sz w:val="28"/>
          <w:szCs w:val="28"/>
        </w:rPr>
        <w:t>антиконкурентного</w:t>
      </w:r>
      <w:proofErr w:type="spellEnd"/>
      <w:r w:rsidRPr="00432459">
        <w:rPr>
          <w:color w:val="000000"/>
          <w:sz w:val="28"/>
          <w:szCs w:val="28"/>
        </w:rPr>
        <w:t xml:space="preserve"> действия может</w:t>
      </w:r>
      <w:proofErr w:type="gramEnd"/>
      <w:r w:rsidRPr="00432459">
        <w:rPr>
          <w:color w:val="000000"/>
          <w:sz w:val="28"/>
          <w:szCs w:val="28"/>
        </w:rPr>
        <w:t xml:space="preserve"> предъявить любое лицо, которое полагает, что ему в результате соответствующих действий (бездействия), соглашений, актов были причинены убытки.</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w:t>
      </w:r>
    </w:p>
    <w:p w:rsidR="00432459" w:rsidRPr="00432459" w:rsidRDefault="00432459" w:rsidP="00432459">
      <w:pPr>
        <w:pStyle w:val="a3"/>
        <w:shd w:val="clear" w:color="auto" w:fill="FFFFFF"/>
        <w:spacing w:before="0" w:beforeAutospacing="0" w:after="75" w:afterAutospacing="0"/>
        <w:jc w:val="center"/>
        <w:textAlignment w:val="baseline"/>
        <w:rPr>
          <w:color w:val="000000"/>
          <w:sz w:val="28"/>
          <w:szCs w:val="28"/>
        </w:rPr>
      </w:pPr>
      <w:r w:rsidRPr="00432459">
        <w:rPr>
          <w:color w:val="000000"/>
          <w:sz w:val="28"/>
          <w:szCs w:val="28"/>
        </w:rPr>
        <w:t>1.2. Предмет доказывания по искам о взыскании убытков</w:t>
      </w:r>
    </w:p>
    <w:p w:rsidR="00432459" w:rsidRPr="00432459" w:rsidRDefault="00432459" w:rsidP="00432459">
      <w:pPr>
        <w:pStyle w:val="a3"/>
        <w:shd w:val="clear" w:color="auto" w:fill="FFFFFF"/>
        <w:spacing w:before="0" w:beforeAutospacing="0" w:after="0" w:afterAutospacing="0"/>
        <w:jc w:val="both"/>
        <w:textAlignment w:val="baseline"/>
        <w:rPr>
          <w:color w:val="000000"/>
          <w:sz w:val="28"/>
          <w:szCs w:val="28"/>
        </w:rPr>
      </w:pPr>
      <w:r w:rsidRPr="00432459">
        <w:rPr>
          <w:color w:val="000000"/>
          <w:sz w:val="28"/>
          <w:szCs w:val="28"/>
        </w:rPr>
        <w:lastRenderedPageBreak/>
        <w:t>В соответствии с </w:t>
      </w:r>
      <w:hyperlink r:id="rId9" w:history="1">
        <w:r w:rsidRPr="00432459">
          <w:rPr>
            <w:rStyle w:val="a4"/>
            <w:color w:val="007085"/>
            <w:sz w:val="28"/>
            <w:szCs w:val="28"/>
            <w:u w:val="none"/>
            <w:bdr w:val="none" w:sz="0" w:space="0" w:color="auto" w:frame="1"/>
          </w:rPr>
          <w:t>пунктом 12</w:t>
        </w:r>
      </w:hyperlink>
      <w:r w:rsidRPr="00432459">
        <w:rPr>
          <w:color w:val="000000"/>
          <w:sz w:val="28"/>
          <w:szCs w:val="28"/>
        </w:rPr>
        <w:t> постановления Пленума Верховного Суда Российской Федерации от 23.06.2015 № 25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Отсутствие вины доказывается лицом, нарушившим обязательство.</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Предмет доказывания включает для истца следующие факты:</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совершение конкретным лицом (лицами) противоречащего антимонопольному законодательству действия или бездействия, соглашения, акта;</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наличие у истца убытков и их размер;</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причинно-следственная связь между нарушением права истца (противоправным поведением) и его убытками.</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1.2.1. 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xml:space="preserve">Потерпевший должен доказать, что нарушитель совершил определенное </w:t>
      </w:r>
      <w:proofErr w:type="spellStart"/>
      <w:r w:rsidRPr="00432459">
        <w:rPr>
          <w:color w:val="000000"/>
          <w:sz w:val="28"/>
          <w:szCs w:val="28"/>
        </w:rPr>
        <w:t>антиконкурентное</w:t>
      </w:r>
      <w:proofErr w:type="spellEnd"/>
      <w:r w:rsidRPr="00432459">
        <w:rPr>
          <w:color w:val="000000"/>
          <w:sz w:val="28"/>
          <w:szCs w:val="28"/>
        </w:rPr>
        <w:t xml:space="preserve">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 о защите конкуренции.</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xml:space="preserve">Вместе с тем законодательство не препятствует пострадавшему лицу обращаться в суд с иском о возмещении убытков </w:t>
      </w:r>
      <w:proofErr w:type="gramStart"/>
      <w:r w:rsidRPr="00432459">
        <w:rPr>
          <w:color w:val="000000"/>
          <w:sz w:val="28"/>
          <w:szCs w:val="28"/>
        </w:rPr>
        <w:t>до</w:t>
      </w:r>
      <w:proofErr w:type="gramEnd"/>
      <w:r w:rsidRPr="00432459">
        <w:rPr>
          <w:color w:val="000000"/>
          <w:sz w:val="28"/>
          <w:szCs w:val="28"/>
        </w:rPr>
        <w:t xml:space="preserve"> или </w:t>
      </w:r>
      <w:proofErr w:type="gramStart"/>
      <w:r w:rsidRPr="00432459">
        <w:rPr>
          <w:color w:val="000000"/>
          <w:sz w:val="28"/>
          <w:szCs w:val="28"/>
        </w:rPr>
        <w:t>без</w:t>
      </w:r>
      <w:proofErr w:type="gramEnd"/>
      <w:r w:rsidRPr="00432459">
        <w:rPr>
          <w:color w:val="000000"/>
          <w:sz w:val="28"/>
          <w:szCs w:val="28"/>
        </w:rPr>
        <w:t xml:space="preserve"> вынесения соответствующего решения антимонопольным органом.</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lastRenderedPageBreak/>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как участника процесса (может быть привлечен судом к участию в судебном процессе).</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В этом случае территориальным органам ФАС России, в соответствии с Планом практического внедрения данных разъяснений (утвержден Приказом от 22.11.2017), указано на обязательность участия в судах при подаче частных исков.</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1.2.2. Наличие убытков и их размер.</w:t>
      </w:r>
    </w:p>
    <w:p w:rsidR="00432459" w:rsidRPr="00432459" w:rsidRDefault="00432459" w:rsidP="00432459">
      <w:pPr>
        <w:pStyle w:val="a3"/>
        <w:shd w:val="clear" w:color="auto" w:fill="FFFFFF"/>
        <w:spacing w:before="0" w:beforeAutospacing="0" w:after="0" w:afterAutospacing="0"/>
        <w:jc w:val="both"/>
        <w:textAlignment w:val="baseline"/>
        <w:rPr>
          <w:color w:val="000000"/>
          <w:sz w:val="28"/>
          <w:szCs w:val="28"/>
        </w:rPr>
      </w:pPr>
      <w:hyperlink r:id="rId10" w:history="1">
        <w:r w:rsidRPr="00432459">
          <w:rPr>
            <w:rStyle w:val="a4"/>
            <w:color w:val="007085"/>
            <w:sz w:val="28"/>
            <w:szCs w:val="28"/>
            <w:u w:val="none"/>
            <w:bdr w:val="none" w:sz="0" w:space="0" w:color="auto" w:frame="1"/>
          </w:rPr>
          <w:t>Статья 15</w:t>
        </w:r>
      </w:hyperlink>
      <w:r w:rsidRPr="00432459">
        <w:rPr>
          <w:color w:val="000000"/>
          <w:sz w:val="28"/>
          <w:szCs w:val="28"/>
        </w:rPr>
        <w:t> ГК РФ и </w:t>
      </w:r>
      <w:hyperlink r:id="rId11" w:history="1">
        <w:r w:rsidRPr="00432459">
          <w:rPr>
            <w:rStyle w:val="a4"/>
            <w:color w:val="007085"/>
            <w:sz w:val="28"/>
            <w:szCs w:val="28"/>
            <w:u w:val="none"/>
            <w:bdr w:val="none" w:sz="0" w:space="0" w:color="auto" w:frame="1"/>
          </w:rPr>
          <w:t>часть 3 статьи 37</w:t>
        </w:r>
      </w:hyperlink>
      <w:r w:rsidRPr="00432459">
        <w:rPr>
          <w:color w:val="000000"/>
          <w:sz w:val="28"/>
          <w:szCs w:val="28"/>
        </w:rPr>
        <w:t> Закона о защите конкуренции позволяют пострадавшему от нарушения антимонопольного законодательства лицу взыскать как реальный ущерб, так и упущенную выгоду.</w:t>
      </w:r>
    </w:p>
    <w:p w:rsidR="00432459" w:rsidRPr="00432459" w:rsidRDefault="00432459" w:rsidP="00432459">
      <w:pPr>
        <w:pStyle w:val="a3"/>
        <w:shd w:val="clear" w:color="auto" w:fill="FFFFFF"/>
        <w:spacing w:before="0" w:beforeAutospacing="0" w:after="0" w:afterAutospacing="0"/>
        <w:jc w:val="both"/>
        <w:textAlignment w:val="baseline"/>
        <w:rPr>
          <w:color w:val="000000"/>
          <w:sz w:val="28"/>
          <w:szCs w:val="28"/>
        </w:rPr>
      </w:pPr>
      <w:r w:rsidRPr="00432459">
        <w:rPr>
          <w:color w:val="000000"/>
          <w:sz w:val="28"/>
          <w:szCs w:val="28"/>
          <w:u w:val="single"/>
          <w:bdr w:val="none" w:sz="0" w:space="0" w:color="auto" w:frame="1"/>
        </w:rPr>
        <w:t>Реальный ущерб</w:t>
      </w:r>
      <w:r w:rsidRPr="00432459">
        <w:rPr>
          <w:color w:val="000000"/>
          <w:sz w:val="28"/>
          <w:szCs w:val="28"/>
        </w:rPr>
        <w:t>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432459" w:rsidRPr="00432459" w:rsidRDefault="00432459" w:rsidP="00432459">
      <w:pPr>
        <w:pStyle w:val="a3"/>
        <w:shd w:val="clear" w:color="auto" w:fill="FFFFFF"/>
        <w:spacing w:before="0" w:beforeAutospacing="0" w:after="0" w:afterAutospacing="0"/>
        <w:jc w:val="both"/>
        <w:textAlignment w:val="baseline"/>
        <w:rPr>
          <w:color w:val="000000"/>
          <w:sz w:val="28"/>
          <w:szCs w:val="28"/>
        </w:rPr>
      </w:pPr>
      <w:r w:rsidRPr="00432459">
        <w:rPr>
          <w:color w:val="000000"/>
          <w:sz w:val="28"/>
          <w:szCs w:val="28"/>
          <w:u w:val="single"/>
          <w:bdr w:val="none" w:sz="0" w:space="0" w:color="auto" w:frame="1"/>
        </w:rPr>
        <w:t>Упущенная выгода</w:t>
      </w:r>
      <w:r w:rsidRPr="00432459">
        <w:rPr>
          <w:color w:val="000000"/>
          <w:sz w:val="28"/>
          <w:szCs w:val="28"/>
        </w:rPr>
        <w:t> представляет собой неполученные доходы, которые это лицо получило бы при обычных условиях гражданского оборота, если бы его право не было нарушено.</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Расчет упущенной выгоды,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Несмотря на то, что убытки ввиду упущенной выгоды являются распространенным последствием нарушений антимонопольного законодательства, данный вид убытков является наиболее сложным в доказывании. Отказы в удовлетворении требований о взыскании упущенной выгоды достаточно распространены.</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В то же время имеется и положительная практика по таким искам (примеры приведены в полном тексте разъяснений).</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1.2.3. Прямая причинно-следственная связь между нарушением и убытками.</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xml:space="preserve">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w:t>
      </w:r>
      <w:r w:rsidRPr="00432459">
        <w:rPr>
          <w:color w:val="000000"/>
          <w:sz w:val="28"/>
          <w:szCs w:val="28"/>
        </w:rPr>
        <w:lastRenderedPageBreak/>
        <w:t>доказал наличие причинно-следственной связи между нарушением и возникшими убытками.</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В случае недоказанности прямой причинно-следственной связи между противоправным поведением ответчика и убытками истца суды отказывают во взыскании убытков.</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1.3. Определение размера убытков в судебной практике</w:t>
      </w:r>
    </w:p>
    <w:p w:rsidR="00432459" w:rsidRPr="00432459" w:rsidRDefault="00432459" w:rsidP="00432459">
      <w:pPr>
        <w:pStyle w:val="a3"/>
        <w:shd w:val="clear" w:color="auto" w:fill="FFFFFF"/>
        <w:spacing w:before="0" w:beforeAutospacing="0" w:after="0" w:afterAutospacing="0"/>
        <w:jc w:val="both"/>
        <w:textAlignment w:val="baseline"/>
        <w:rPr>
          <w:color w:val="000000"/>
          <w:sz w:val="28"/>
          <w:szCs w:val="28"/>
        </w:rPr>
      </w:pPr>
      <w:r w:rsidRPr="00432459">
        <w:rPr>
          <w:color w:val="000000"/>
          <w:sz w:val="28"/>
          <w:szCs w:val="28"/>
        </w:rPr>
        <w:t>При определении размера убытков принципиальное значение имеют позиции, изложенные в </w:t>
      </w:r>
      <w:hyperlink r:id="rId12" w:history="1">
        <w:r w:rsidRPr="00432459">
          <w:rPr>
            <w:rStyle w:val="a4"/>
            <w:color w:val="007085"/>
            <w:sz w:val="28"/>
            <w:szCs w:val="28"/>
            <w:u w:val="none"/>
            <w:bdr w:val="none" w:sz="0" w:space="0" w:color="auto" w:frame="1"/>
          </w:rPr>
          <w:t>пунктах 12</w:t>
        </w:r>
      </w:hyperlink>
      <w:r w:rsidRPr="00432459">
        <w:rPr>
          <w:color w:val="000000"/>
          <w:sz w:val="28"/>
          <w:szCs w:val="28"/>
        </w:rPr>
        <w:t>и </w:t>
      </w:r>
      <w:hyperlink r:id="rId13" w:history="1">
        <w:r w:rsidRPr="00432459">
          <w:rPr>
            <w:rStyle w:val="a4"/>
            <w:color w:val="007085"/>
            <w:sz w:val="28"/>
            <w:szCs w:val="28"/>
            <w:u w:val="none"/>
            <w:bdr w:val="none" w:sz="0" w:space="0" w:color="auto" w:frame="1"/>
          </w:rPr>
          <w:t>14</w:t>
        </w:r>
      </w:hyperlink>
      <w:r w:rsidRPr="00432459">
        <w:rPr>
          <w:color w:val="000000"/>
          <w:sz w:val="28"/>
          <w:szCs w:val="28"/>
        </w:rPr>
        <w:t> постановления Пленума Верховного Суда РФ от 23.06.2015 № 25:</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Пункт 12. Размер подлежащих возмещению убытков должен быть установлен с разумной степенью достоверности. Т.е.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Пункт 14.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Примеры подходов судов в разрешении споров о размере ущерба приведены в полном тексте разъяснений.</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w:t>
      </w:r>
    </w:p>
    <w:p w:rsidR="00432459" w:rsidRPr="00432459" w:rsidRDefault="00432459" w:rsidP="00432459">
      <w:pPr>
        <w:pStyle w:val="a3"/>
        <w:shd w:val="clear" w:color="auto" w:fill="FFFFFF"/>
        <w:spacing w:before="0" w:beforeAutospacing="0" w:after="75" w:afterAutospacing="0"/>
        <w:jc w:val="center"/>
        <w:textAlignment w:val="baseline"/>
        <w:rPr>
          <w:color w:val="000000"/>
          <w:sz w:val="28"/>
          <w:szCs w:val="28"/>
        </w:rPr>
      </w:pPr>
      <w:r w:rsidRPr="00432459">
        <w:rPr>
          <w:color w:val="000000"/>
          <w:sz w:val="28"/>
          <w:szCs w:val="28"/>
        </w:rPr>
        <w:t>1.4. Законодательное ограничение возможности взыскания убытков</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Существуют законы, регулирующие конкретный вид обязательств, которыми ограничена ответственность по ним в сравнении со статьей 15 ГК РФ, устанавливающей принцип полного возмещения убытков, в том числе упущенной выгоды.</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w:t>
      </w:r>
    </w:p>
    <w:p w:rsidR="00432459" w:rsidRPr="00432459" w:rsidRDefault="00432459" w:rsidP="00432459">
      <w:pPr>
        <w:pStyle w:val="a3"/>
        <w:shd w:val="clear" w:color="auto" w:fill="FFFFFF"/>
        <w:spacing w:before="0" w:beforeAutospacing="0" w:after="75" w:afterAutospacing="0"/>
        <w:jc w:val="center"/>
        <w:textAlignment w:val="baseline"/>
        <w:rPr>
          <w:color w:val="000000"/>
          <w:sz w:val="28"/>
          <w:szCs w:val="28"/>
        </w:rPr>
      </w:pPr>
      <w:r w:rsidRPr="00432459">
        <w:rPr>
          <w:color w:val="000000"/>
          <w:sz w:val="28"/>
          <w:szCs w:val="28"/>
        </w:rPr>
        <w:t>1.5. Перенос издержек и иски косвенных покупателей</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В контексте предмета доказывания по делам о возмещении вреда особое значение имеет так называемый перенос издержек.</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proofErr w:type="gramStart"/>
      <w:r w:rsidRPr="00432459">
        <w:rPr>
          <w:color w:val="000000"/>
          <w:sz w:val="28"/>
          <w:szCs w:val="28"/>
        </w:rPr>
        <w:t xml:space="preserve">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ценам </w:t>
      </w:r>
      <w:r w:rsidRPr="00432459">
        <w:rPr>
          <w:color w:val="000000"/>
          <w:sz w:val="28"/>
          <w:szCs w:val="28"/>
        </w:rPr>
        <w:lastRenderedPageBreak/>
        <w:t>или монопольно высоким ценам и т.п.), увеличивает стоимость собственных товаров, услуг или работ, «перекладывая» тем самым свое возросшее финансовое бремя на других лиц (полностью или частично).</w:t>
      </w:r>
      <w:proofErr w:type="gramEnd"/>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proofErr w:type="gramStart"/>
      <w:r w:rsidRPr="00432459">
        <w:rPr>
          <w:color w:val="000000"/>
          <w:sz w:val="28"/>
          <w:szCs w:val="28"/>
        </w:rP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roofErr w:type="gramEnd"/>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w:t>
      </w:r>
    </w:p>
    <w:p w:rsidR="00432459" w:rsidRPr="00432459" w:rsidRDefault="00432459" w:rsidP="00432459">
      <w:pPr>
        <w:pStyle w:val="a3"/>
        <w:shd w:val="clear" w:color="auto" w:fill="FFFFFF"/>
        <w:spacing w:before="0" w:beforeAutospacing="0" w:after="0" w:afterAutospacing="0"/>
        <w:jc w:val="both"/>
        <w:textAlignment w:val="baseline"/>
        <w:rPr>
          <w:color w:val="000000"/>
          <w:sz w:val="28"/>
          <w:szCs w:val="28"/>
        </w:rPr>
      </w:pPr>
      <w:bookmarkStart w:id="0" w:name="P204"/>
      <w:bookmarkEnd w:id="0"/>
      <w:r w:rsidRPr="00432459">
        <w:rPr>
          <w:color w:val="000000"/>
          <w:sz w:val="28"/>
          <w:szCs w:val="28"/>
        </w:rPr>
        <w:t>2. Концептуальные подходы к расче</w:t>
      </w:r>
      <w:bookmarkStart w:id="1" w:name="_GoBack"/>
      <w:bookmarkEnd w:id="1"/>
      <w:r w:rsidRPr="00432459">
        <w:rPr>
          <w:color w:val="000000"/>
          <w:sz w:val="28"/>
          <w:szCs w:val="28"/>
        </w:rPr>
        <w:t>ту убытков.</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В данном разделе Разъяснений описаны концептуальные подходы, составляющие базис для расчетов убытков, причиненных нарушением антимонопольного законодательства, общие экономические принципы, используемые при расчете убытков, обзор конкретных аналитических методов, которые могут применяться для проведения анализа на практике, а также источники информации, используемые в ходе проведении экспертизы по расчету убытков.</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w:t>
      </w:r>
    </w:p>
    <w:p w:rsidR="00432459" w:rsidRPr="00432459" w:rsidRDefault="00432459" w:rsidP="00432459">
      <w:pPr>
        <w:pStyle w:val="a3"/>
        <w:shd w:val="clear" w:color="auto" w:fill="FFFFFF"/>
        <w:spacing w:before="0" w:beforeAutospacing="0" w:after="0" w:afterAutospacing="0"/>
        <w:jc w:val="both"/>
        <w:textAlignment w:val="baseline"/>
        <w:rPr>
          <w:color w:val="000000"/>
          <w:sz w:val="28"/>
          <w:szCs w:val="28"/>
        </w:rPr>
      </w:pPr>
      <w:bookmarkStart w:id="2" w:name="P210"/>
      <w:bookmarkEnd w:id="2"/>
      <w:r w:rsidRPr="00432459">
        <w:rPr>
          <w:color w:val="000000"/>
          <w:sz w:val="28"/>
          <w:szCs w:val="28"/>
        </w:rPr>
        <w:t>2.1. Общие принципы.</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При 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направлении: как бы мог выглядеть рынок, конкурентная среда или финансовое положение хозяйствующего субъекта при отсутствии нарушения?</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Т.е. такой анализ всегда основан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2.1.2. Временной фактор и упущенная выгода (недополученная прибыль).</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xml:space="preserve">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w:t>
      </w:r>
      <w:r w:rsidRPr="00432459">
        <w:rPr>
          <w:color w:val="000000"/>
          <w:sz w:val="28"/>
          <w:szCs w:val="28"/>
        </w:rPr>
        <w:lastRenderedPageBreak/>
        <w:t>момент его возникновения в прошлом, но и текущую стоимость убытка (то есть на момент осуществления оценки), с учетом упущенных (инвестиционных или коммерческих) возможностей. В противном случае убыток будет оценен не полностью.</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В общем случае есть два основных типа антимонопольных нарушений, приводящих к сходным типам финансовых потерь.</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Нарушения, приводящие к необоснованному повышению цен, установлению необоснованно высоких цен и (или) поддержанию цен на завышенном уровне.</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Нарушения, приводящие к ограничению (созданию препятствий) доступа на рынок или приводящие к устранению с товарного рынка конкурирующих хозяйствующих субъектов.</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В некоторых случаях нельзя исключать того, что пострадавшие лица несут убытки (иные финансовые потери, возмещаемые в порядке реституции) как от роста цен, так и от возникновения препятствий для их доступа на рынок.</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w:t>
      </w:r>
    </w:p>
    <w:p w:rsidR="00432459" w:rsidRPr="00432459" w:rsidRDefault="00432459" w:rsidP="00432459">
      <w:pPr>
        <w:pStyle w:val="a3"/>
        <w:shd w:val="clear" w:color="auto" w:fill="FFFFFF"/>
        <w:spacing w:before="0" w:beforeAutospacing="0" w:after="0" w:afterAutospacing="0"/>
        <w:jc w:val="both"/>
        <w:textAlignment w:val="baseline"/>
        <w:rPr>
          <w:color w:val="000000"/>
          <w:sz w:val="28"/>
          <w:szCs w:val="28"/>
        </w:rPr>
      </w:pPr>
      <w:bookmarkStart w:id="3" w:name="P276"/>
      <w:bookmarkEnd w:id="3"/>
      <w:r w:rsidRPr="00432459">
        <w:rPr>
          <w:color w:val="000000"/>
          <w:sz w:val="28"/>
          <w:szCs w:val="28"/>
        </w:rPr>
        <w:t xml:space="preserve">2.2. Аналитические подходы, используемые для проведения </w:t>
      </w:r>
      <w:proofErr w:type="spellStart"/>
      <w:r w:rsidRPr="00432459">
        <w:rPr>
          <w:color w:val="000000"/>
          <w:sz w:val="28"/>
          <w:szCs w:val="28"/>
        </w:rPr>
        <w:t>контрфактуального</w:t>
      </w:r>
      <w:proofErr w:type="spellEnd"/>
      <w:r w:rsidRPr="00432459">
        <w:rPr>
          <w:color w:val="000000"/>
          <w:sz w:val="28"/>
          <w:szCs w:val="28"/>
        </w:rPr>
        <w:t xml:space="preserve"> анализа.</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Сравнительный экономический анализ (сопоставление рыночных показателей)</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Экономическое и финансовое моделирование  (оценка нормы прибыли и других финансовых показателей).</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w:t>
      </w:r>
    </w:p>
    <w:p w:rsidR="00432459" w:rsidRPr="00432459" w:rsidRDefault="00432459" w:rsidP="00432459">
      <w:pPr>
        <w:pStyle w:val="a3"/>
        <w:shd w:val="clear" w:color="auto" w:fill="FFFFFF"/>
        <w:spacing w:before="0" w:beforeAutospacing="0" w:after="0" w:afterAutospacing="0"/>
        <w:jc w:val="both"/>
        <w:textAlignment w:val="baseline"/>
        <w:rPr>
          <w:color w:val="000000"/>
          <w:sz w:val="28"/>
          <w:szCs w:val="28"/>
        </w:rPr>
      </w:pPr>
      <w:bookmarkStart w:id="4" w:name="P385"/>
      <w:bookmarkEnd w:id="4"/>
      <w:r w:rsidRPr="00432459">
        <w:rPr>
          <w:color w:val="000000"/>
          <w:sz w:val="28"/>
          <w:szCs w:val="28"/>
        </w:rPr>
        <w:t xml:space="preserve">2.3. Источники информации для проведения </w:t>
      </w:r>
      <w:proofErr w:type="spellStart"/>
      <w:r w:rsidRPr="00432459">
        <w:rPr>
          <w:color w:val="000000"/>
          <w:sz w:val="28"/>
          <w:szCs w:val="28"/>
        </w:rPr>
        <w:t>контрфактуального</w:t>
      </w:r>
      <w:proofErr w:type="spellEnd"/>
      <w:r w:rsidRPr="00432459">
        <w:rPr>
          <w:color w:val="000000"/>
          <w:sz w:val="28"/>
          <w:szCs w:val="28"/>
        </w:rPr>
        <w:t xml:space="preserve"> анализа.</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xml:space="preserve">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w:t>
      </w:r>
      <w:proofErr w:type="gramStart"/>
      <w:r w:rsidRPr="00432459">
        <w:rPr>
          <w:color w:val="000000"/>
          <w:sz w:val="28"/>
          <w:szCs w:val="28"/>
        </w:rPr>
        <w:t>следующие</w:t>
      </w:r>
      <w:proofErr w:type="gramEnd"/>
      <w:r w:rsidRPr="00432459">
        <w:rPr>
          <w:color w:val="000000"/>
          <w:sz w:val="28"/>
          <w:szCs w:val="28"/>
        </w:rPr>
        <w:t>:</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Официальные статистические данные, сведения, полученные от антимонопольных, налоговых, таможенных и иных государственных органов.</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lastRenderedPageBreak/>
        <w:t>- Внутренние документы компаний, включая финансовую отчетность, собственные маркетинговые исследования, экспертные оценки.</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Рыночные и маркетинговые исследования, проведенные третьими лицами (соответствующими специализированными организациями).</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Экспертные оценки и исследования органов государственной власти (министерств, ведомств, отраслевых регуляторов и проч.).</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Данные ведомственных и независимых информационных центров и служб, средств массовой информации.</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w:t>
      </w:r>
    </w:p>
    <w:p w:rsidR="00432459" w:rsidRPr="00432459" w:rsidRDefault="00432459" w:rsidP="00432459">
      <w:pPr>
        <w:pStyle w:val="a3"/>
        <w:shd w:val="clear" w:color="auto" w:fill="FFFFFF"/>
        <w:spacing w:before="0" w:beforeAutospacing="0" w:after="0" w:afterAutospacing="0"/>
        <w:jc w:val="both"/>
        <w:textAlignment w:val="baseline"/>
        <w:rPr>
          <w:color w:val="000000"/>
          <w:sz w:val="28"/>
          <w:szCs w:val="28"/>
        </w:rPr>
      </w:pPr>
      <w:bookmarkStart w:id="5" w:name="P397"/>
      <w:bookmarkEnd w:id="5"/>
      <w:r w:rsidRPr="00432459">
        <w:rPr>
          <w:color w:val="000000"/>
          <w:sz w:val="28"/>
          <w:szCs w:val="28"/>
        </w:rPr>
        <w:t>В третьем разделе Разъяснений описаны способы и примеры расчета убытков, причиненных в результате нарушения антимонопольного законодательства, а именно в результате установления (поддержания) необоснованно высоких цен.</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xml:space="preserve">К таким нарушениям, в первую очередь, относятся </w:t>
      </w:r>
      <w:proofErr w:type="spellStart"/>
      <w:r w:rsidRPr="00432459">
        <w:rPr>
          <w:color w:val="000000"/>
          <w:sz w:val="28"/>
          <w:szCs w:val="28"/>
        </w:rPr>
        <w:t>антиконкурентные</w:t>
      </w:r>
      <w:proofErr w:type="spellEnd"/>
      <w:r w:rsidRPr="00432459">
        <w:rPr>
          <w:color w:val="000000"/>
          <w:sz w:val="28"/>
          <w:szCs w:val="28"/>
        </w:rPr>
        <w:t xml:space="preserve"> горизонтальные соглашения (картели) и установление монопольно высоких цен, а также все те нарушения, которые привели к данному эффекту.</w:t>
      </w:r>
    </w:p>
    <w:p w:rsidR="00432459" w:rsidRPr="00432459" w:rsidRDefault="00432459" w:rsidP="00432459">
      <w:pPr>
        <w:pStyle w:val="a3"/>
        <w:shd w:val="clear" w:color="auto" w:fill="FFFFFF"/>
        <w:spacing w:before="0" w:beforeAutospacing="0" w:after="0" w:afterAutospacing="0"/>
        <w:jc w:val="both"/>
        <w:textAlignment w:val="baseline"/>
        <w:rPr>
          <w:color w:val="000000"/>
          <w:sz w:val="28"/>
          <w:szCs w:val="28"/>
        </w:rPr>
      </w:pPr>
      <w:bookmarkStart w:id="6" w:name="P457"/>
      <w:bookmarkEnd w:id="6"/>
      <w:r w:rsidRPr="00432459">
        <w:rPr>
          <w:color w:val="000000"/>
          <w:sz w:val="28"/>
          <w:szCs w:val="28"/>
        </w:rPr>
        <w:t> </w:t>
      </w:r>
    </w:p>
    <w:p w:rsidR="00432459" w:rsidRPr="00432459" w:rsidRDefault="00432459" w:rsidP="00432459">
      <w:pPr>
        <w:pStyle w:val="a3"/>
        <w:shd w:val="clear" w:color="auto" w:fill="FFFFFF"/>
        <w:spacing w:before="0" w:beforeAutospacing="0" w:after="0" w:afterAutospacing="0"/>
        <w:jc w:val="both"/>
        <w:textAlignment w:val="baseline"/>
        <w:rPr>
          <w:color w:val="000000"/>
          <w:sz w:val="28"/>
          <w:szCs w:val="28"/>
        </w:rPr>
      </w:pPr>
      <w:bookmarkStart w:id="7" w:name="P528"/>
      <w:bookmarkEnd w:id="7"/>
      <w:r w:rsidRPr="00432459">
        <w:rPr>
          <w:color w:val="000000"/>
          <w:sz w:val="28"/>
          <w:szCs w:val="28"/>
        </w:rPr>
        <w:t>В четвертом  разделе Разъяснений приведены примеры расчета убытков, причиненных нарушениями, ограничивающими доступ на товарный рынок, устраняющими хозяйствующих субъектов с рынка.</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 навязывание контрагентам невыгодных условий договоров, недобросовестная конкуренция и др.</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w:t>
      </w:r>
    </w:p>
    <w:p w:rsidR="00432459" w:rsidRPr="00432459" w:rsidRDefault="00432459" w:rsidP="00432459">
      <w:pPr>
        <w:pStyle w:val="a3"/>
        <w:shd w:val="clear" w:color="auto" w:fill="FFFFFF"/>
        <w:spacing w:before="0" w:beforeAutospacing="0" w:after="0" w:afterAutospacing="0"/>
        <w:jc w:val="both"/>
        <w:textAlignment w:val="baseline"/>
        <w:rPr>
          <w:color w:val="000000"/>
          <w:sz w:val="28"/>
          <w:szCs w:val="28"/>
        </w:rPr>
      </w:pPr>
      <w:r w:rsidRPr="00432459">
        <w:rPr>
          <w:b/>
          <w:bCs/>
          <w:color w:val="000000"/>
          <w:sz w:val="28"/>
          <w:szCs w:val="28"/>
          <w:bdr w:val="none" w:sz="0" w:space="0" w:color="auto" w:frame="1"/>
        </w:rPr>
        <w:t>Заключение:</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xml:space="preserve">Таким образом, иск о возмещении убытков подается лицом, которое полагает, что ему в результате </w:t>
      </w:r>
      <w:proofErr w:type="spellStart"/>
      <w:r w:rsidRPr="00432459">
        <w:rPr>
          <w:color w:val="000000"/>
          <w:sz w:val="28"/>
          <w:szCs w:val="28"/>
        </w:rPr>
        <w:t>антиконкурентного</w:t>
      </w:r>
      <w:proofErr w:type="spellEnd"/>
      <w:r w:rsidRPr="00432459">
        <w:rPr>
          <w:color w:val="000000"/>
          <w:sz w:val="28"/>
          <w:szCs w:val="28"/>
        </w:rPr>
        <w:t>  действия были причинены убытки.</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 xml:space="preserve">Вместе с тем, сами факты нарушений антимонопольного законодательства доказываются антимонопольными органами в ходе рассмотрения дел о нарушении антимонопольного законодательства. Наличие решения антимонопольного органа значительно усиливает правовую позицию истца и принимается судами в качестве важного доказательства по делам о </w:t>
      </w:r>
      <w:r w:rsidRPr="00432459">
        <w:rPr>
          <w:color w:val="000000"/>
          <w:sz w:val="28"/>
          <w:szCs w:val="28"/>
        </w:rPr>
        <w:lastRenderedPageBreak/>
        <w:t>возмещении убытков, но, при этом,  не является обязательным требованием при предъявлении подобных исков в суд.</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В случае обращения лица в суд о возмещении убытков, при наличии решения антимонопольного органа, антимонопольный орган может быть привлечен к участию в деле в качестве третьего лица, не заявляющего самостоятельных требований относительно предмете спора, по ходатайству стороны процесса или по инициативе суда.</w:t>
      </w:r>
    </w:p>
    <w:p w:rsidR="00432459" w:rsidRPr="00432459" w:rsidRDefault="00432459" w:rsidP="00432459">
      <w:pPr>
        <w:pStyle w:val="a3"/>
        <w:shd w:val="clear" w:color="auto" w:fill="FFFFFF"/>
        <w:spacing w:before="0" w:beforeAutospacing="0" w:after="75" w:afterAutospacing="0"/>
        <w:jc w:val="both"/>
        <w:textAlignment w:val="baseline"/>
        <w:rPr>
          <w:color w:val="000000"/>
          <w:sz w:val="28"/>
          <w:szCs w:val="28"/>
        </w:rPr>
      </w:pPr>
      <w:r w:rsidRPr="00432459">
        <w:rPr>
          <w:color w:val="000000"/>
          <w:sz w:val="28"/>
          <w:szCs w:val="28"/>
        </w:rPr>
        <w:t>Если же данное решение отсутствует, а антимонопольный орган привлечен судом к рассмотрению иска о возмещении убытков и в ходе рассмотрения частного иска установлено наличие признаков нарушения антимонопольного законодательства, следует рассмотреть вопрос о возбуждении дела о нарушении норм Федерального закона «О защите конкуренции».</w:t>
      </w:r>
    </w:p>
    <w:p w:rsidR="002727BB" w:rsidRPr="00432459" w:rsidRDefault="002727BB">
      <w:pPr>
        <w:rPr>
          <w:rFonts w:ascii="Times New Roman" w:hAnsi="Times New Roman" w:cs="Times New Roman"/>
          <w:sz w:val="28"/>
          <w:szCs w:val="28"/>
        </w:rPr>
      </w:pPr>
    </w:p>
    <w:sectPr w:rsidR="002727BB" w:rsidRPr="00432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59"/>
    <w:rsid w:val="002727BB"/>
    <w:rsid w:val="00432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2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24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24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24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9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0049BE6792953D27FCD840E0048D285ADA416DAC5E3E72310ABA28F45936FABD2F69C677jDX1G" TargetMode="External"/><Relationship Id="rId13" Type="http://schemas.openxmlformats.org/officeDocument/2006/relationships/hyperlink" Target="consultantplus://offline/ref=3C0049BE6792953D27FCD840E0048D2859DA416CA4543E72310ABA28F45936FABD2F69CE70D4FC25j3XAG" TargetMode="External"/><Relationship Id="rId3" Type="http://schemas.openxmlformats.org/officeDocument/2006/relationships/settings" Target="settings.xml"/><Relationship Id="rId7" Type="http://schemas.openxmlformats.org/officeDocument/2006/relationships/hyperlink" Target="consultantplus://offline/ref=3C0049BE6792953D27FCD840E0048D285ADA416DAC5E3E72310ABA28F45936FABD2F69C876DCjFXAG" TargetMode="External"/><Relationship Id="rId12" Type="http://schemas.openxmlformats.org/officeDocument/2006/relationships/hyperlink" Target="consultantplus://offline/ref=3C0049BE6792953D27FCD840E0048D2859DA416CA4543E72310ABA28F45936FABD2F69CE70D4FC25j3X1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C0049BE6792953D27FCD840E0048D285ADA416DAC5E3E72310ABA28F45936FABD2F69CC73DDjFX9G" TargetMode="External"/><Relationship Id="rId11" Type="http://schemas.openxmlformats.org/officeDocument/2006/relationships/hyperlink" Target="consultantplus://offline/ref=3C0049BE6792953D27FCD840E0048D285AD0416EA65E3E72310ABA28F45936FABD2F69CA73jDX3G" TargetMode="External"/><Relationship Id="rId5" Type="http://schemas.openxmlformats.org/officeDocument/2006/relationships/hyperlink" Target="consultantplus://offline/ref=3C0049BE6792953D27FCD840E0048D285ADA416DAC5E3E72310ABA28F45936FABD2F69CC73DCjFXEG" TargetMode="External"/><Relationship Id="rId15" Type="http://schemas.openxmlformats.org/officeDocument/2006/relationships/theme" Target="theme/theme1.xml"/><Relationship Id="rId10" Type="http://schemas.openxmlformats.org/officeDocument/2006/relationships/hyperlink" Target="consultantplus://offline/ref=3C0049BE6792953D27FCD840E0048D285AD04063AD533E72310ABA28F45936FABD2F69CE70D4FC2Fj3X2G" TargetMode="External"/><Relationship Id="rId4" Type="http://schemas.openxmlformats.org/officeDocument/2006/relationships/webSettings" Target="webSettings.xml"/><Relationship Id="rId9" Type="http://schemas.openxmlformats.org/officeDocument/2006/relationships/hyperlink" Target="consultantplus://offline/ref=3C0049BE6792953D27FCD840E0048D2859DA416CA4543E72310ABA28F45936FABD2F69CE70D4FC25j3X1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2654</Words>
  <Characters>15134</Characters>
  <Application>Microsoft Office Word</Application>
  <DocSecurity>0</DocSecurity>
  <Lines>126</Lines>
  <Paragraphs>35</Paragraphs>
  <ScaleCrop>false</ScaleCrop>
  <Company/>
  <LinksUpToDate>false</LinksUpToDate>
  <CharactersWithSpaces>17753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Press-to</dc:creator>
  <cp:lastModifiedBy>Press-to</cp:lastModifiedBy>
  <cp:revision>1</cp:revision>
  <dcterms:created xsi:type="dcterms:W3CDTF">2018-02-20T16:01:00Z</dcterms:created>
  <dcterms:modified xsi:type="dcterms:W3CDTF">2018-02-20T16:01:00Z</dcterms:modified>
</cp:coreProperties>
</file>