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BD" w:rsidRPr="000111A0" w:rsidRDefault="00E37EBD" w:rsidP="00E37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A0">
        <w:rPr>
          <w:rFonts w:ascii="Times New Roman" w:hAnsi="Times New Roman" w:cs="Times New Roman"/>
          <w:b/>
          <w:sz w:val="24"/>
          <w:szCs w:val="24"/>
        </w:rPr>
        <w:t xml:space="preserve">Доклад «Состояние и развитие конкурентной среды на рынках </w:t>
      </w:r>
    </w:p>
    <w:p w:rsidR="00E37EBD" w:rsidRPr="000111A0" w:rsidRDefault="00E37EBD" w:rsidP="00E37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A0">
        <w:rPr>
          <w:rFonts w:ascii="Times New Roman" w:hAnsi="Times New Roman" w:cs="Times New Roman"/>
          <w:b/>
          <w:sz w:val="24"/>
          <w:szCs w:val="24"/>
        </w:rPr>
        <w:t xml:space="preserve">товаров, работ, услуг Ленинградской области» </w:t>
      </w:r>
    </w:p>
    <w:p w:rsidR="00E37EBD" w:rsidRPr="000111A0" w:rsidRDefault="00E37EBD" w:rsidP="00E37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A0">
        <w:rPr>
          <w:rFonts w:ascii="Times New Roman" w:hAnsi="Times New Roman" w:cs="Times New Roman"/>
          <w:b/>
          <w:sz w:val="24"/>
          <w:szCs w:val="24"/>
        </w:rPr>
        <w:t>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11A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7EBD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EBD" w:rsidRPr="000111A0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EF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1A0">
        <w:rPr>
          <w:rFonts w:ascii="Times New Roman" w:hAnsi="Times New Roman" w:cs="Times New Roman"/>
          <w:sz w:val="24"/>
          <w:szCs w:val="24"/>
        </w:rPr>
        <w:t xml:space="preserve">Внедрение Стандарта развития конкуренции на территории Ленинградской области осуществляется в соответствии с Распоряжением Губернатора Ленинградской области от 15 февраля 2016 года №76-рг «О внедрении на территории Ленинградской области стандарта развития конкуренции в субъектах Российской Федерации». </w:t>
      </w:r>
    </w:p>
    <w:p w:rsidR="00E37EBD" w:rsidRPr="008502AE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2AE">
        <w:rPr>
          <w:rFonts w:ascii="Times New Roman" w:hAnsi="Times New Roman" w:cs="Times New Roman"/>
          <w:sz w:val="24"/>
          <w:szCs w:val="24"/>
        </w:rPr>
        <w:t>Для создания благоприятных условий ведения предпринимательской деятельности и снижения административных барьеров в Ленинградской области в 2017 году Правительством области создан центральный проектный офис.</w:t>
      </w:r>
    </w:p>
    <w:p w:rsidR="00E37EBD" w:rsidRPr="008502AE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2AE">
        <w:rPr>
          <w:rFonts w:ascii="Times New Roman" w:hAnsi="Times New Roman" w:cs="Times New Roman"/>
          <w:sz w:val="24"/>
          <w:szCs w:val="24"/>
        </w:rPr>
        <w:t>На сегодняшний день в Ленинградской области реализуются:</w:t>
      </w:r>
    </w:p>
    <w:p w:rsidR="00E37EBD" w:rsidRPr="008502AE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2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02AE">
        <w:rPr>
          <w:rFonts w:ascii="Times New Roman" w:hAnsi="Times New Roman" w:cs="Times New Roman"/>
          <w:sz w:val="24"/>
          <w:szCs w:val="24"/>
        </w:rPr>
        <w:t xml:space="preserve"> приоритетные программы проектов;</w:t>
      </w:r>
    </w:p>
    <w:p w:rsidR="00E37EBD" w:rsidRPr="008502AE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2AE">
        <w:rPr>
          <w:rFonts w:ascii="Times New Roman" w:hAnsi="Times New Roman" w:cs="Times New Roman"/>
          <w:sz w:val="24"/>
          <w:szCs w:val="24"/>
        </w:rPr>
        <w:t xml:space="preserve">- </w:t>
      </w:r>
      <w:r w:rsidRPr="00B147FB">
        <w:rPr>
          <w:rFonts w:ascii="Times New Roman" w:hAnsi="Times New Roman" w:cs="Times New Roman"/>
          <w:sz w:val="24"/>
          <w:szCs w:val="24"/>
        </w:rPr>
        <w:t>16 приоритетных проектов;</w:t>
      </w:r>
    </w:p>
    <w:p w:rsidR="00E37EBD" w:rsidRPr="008502AE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2AE"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02AE">
        <w:rPr>
          <w:rFonts w:ascii="Times New Roman" w:hAnsi="Times New Roman" w:cs="Times New Roman"/>
          <w:sz w:val="24"/>
          <w:szCs w:val="24"/>
        </w:rPr>
        <w:t xml:space="preserve"> региональных проектов.</w:t>
      </w:r>
    </w:p>
    <w:p w:rsidR="00E37EBD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r w:rsidRPr="008502AE">
        <w:rPr>
          <w:rFonts w:ascii="Times New Roman" w:hAnsi="Times New Roman" w:cs="Times New Roman"/>
          <w:sz w:val="24"/>
          <w:szCs w:val="24"/>
        </w:rPr>
        <w:t xml:space="preserve">Содействие развитию конкуренции на рынках товаров, работ </w:t>
      </w:r>
      <w:r>
        <w:rPr>
          <w:rFonts w:ascii="Times New Roman" w:hAnsi="Times New Roman" w:cs="Times New Roman"/>
          <w:sz w:val="24"/>
          <w:szCs w:val="24"/>
        </w:rPr>
        <w:t>и услуг Ленинградской области»</w:t>
      </w:r>
      <w:r w:rsidRPr="00850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 на сайте администрации Ленинградской области</w:t>
      </w:r>
      <w:r w:rsidRPr="008502AE">
        <w:rPr>
          <w:rFonts w:ascii="Times New Roman" w:hAnsi="Times New Roman" w:cs="Times New Roman"/>
          <w:sz w:val="24"/>
          <w:szCs w:val="24"/>
        </w:rPr>
        <w:t>.</w:t>
      </w:r>
    </w:p>
    <w:p w:rsidR="00E37EBD" w:rsidRPr="008502AE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2AE">
        <w:rPr>
          <w:rFonts w:ascii="Times New Roman" w:hAnsi="Times New Roman" w:cs="Times New Roman"/>
          <w:sz w:val="24"/>
          <w:szCs w:val="24"/>
        </w:rPr>
        <w:t>Целевые показатели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 к 25 декабря 2022 года</w:t>
      </w:r>
      <w:r w:rsidRPr="008502AE">
        <w:rPr>
          <w:rFonts w:ascii="Times New Roman" w:hAnsi="Times New Roman" w:cs="Times New Roman"/>
          <w:sz w:val="24"/>
          <w:szCs w:val="24"/>
        </w:rPr>
        <w:t>:</w:t>
      </w:r>
    </w:p>
    <w:p w:rsidR="00E37EBD" w:rsidRPr="008502AE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502AE">
        <w:rPr>
          <w:rFonts w:ascii="Times New Roman" w:hAnsi="Times New Roman" w:cs="Times New Roman"/>
          <w:sz w:val="24"/>
          <w:szCs w:val="24"/>
        </w:rPr>
        <w:t>оля достигнутых целевых значений контрольных показателей, установленных в плане мероприятий – 100%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EBD" w:rsidRPr="008502AE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502AE">
        <w:rPr>
          <w:rFonts w:ascii="Times New Roman" w:hAnsi="Times New Roman" w:cs="Times New Roman"/>
          <w:sz w:val="24"/>
          <w:szCs w:val="24"/>
        </w:rPr>
        <w:t>беспечение на 33 товарных рынков Ленинградской области не менее одного ч</w:t>
      </w:r>
      <w:r>
        <w:rPr>
          <w:rFonts w:ascii="Times New Roman" w:hAnsi="Times New Roman" w:cs="Times New Roman"/>
          <w:sz w:val="24"/>
          <w:szCs w:val="24"/>
        </w:rPr>
        <w:t>астного хозяйствующего субъекта;</w:t>
      </w:r>
    </w:p>
    <w:p w:rsidR="00E37EBD" w:rsidRPr="008502AE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502AE">
        <w:rPr>
          <w:rFonts w:ascii="Times New Roman" w:hAnsi="Times New Roman" w:cs="Times New Roman"/>
          <w:sz w:val="24"/>
          <w:szCs w:val="24"/>
        </w:rPr>
        <w:t>величение к 2020 г.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</w:t>
      </w:r>
      <w:r>
        <w:rPr>
          <w:rFonts w:ascii="Times New Roman" w:hAnsi="Times New Roman" w:cs="Times New Roman"/>
          <w:sz w:val="24"/>
          <w:szCs w:val="24"/>
        </w:rPr>
        <w:t>ипального заказа – не менее 35%;</w:t>
      </w:r>
    </w:p>
    <w:p w:rsidR="00E37EBD" w:rsidRPr="008502AE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502AE">
        <w:rPr>
          <w:rFonts w:ascii="Times New Roman" w:hAnsi="Times New Roman" w:cs="Times New Roman"/>
          <w:sz w:val="24"/>
          <w:szCs w:val="24"/>
        </w:rPr>
        <w:t>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Ленинградск</w:t>
      </w:r>
      <w:r>
        <w:rPr>
          <w:rFonts w:ascii="Times New Roman" w:hAnsi="Times New Roman" w:cs="Times New Roman"/>
          <w:sz w:val="24"/>
          <w:szCs w:val="24"/>
        </w:rPr>
        <w:t>ой области – 18 муниципалитетов;</w:t>
      </w:r>
    </w:p>
    <w:p w:rsidR="00E37EBD" w:rsidRPr="000111A0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02AE">
        <w:rPr>
          <w:rFonts w:ascii="Times New Roman" w:hAnsi="Times New Roman" w:cs="Times New Roman"/>
          <w:sz w:val="24"/>
          <w:szCs w:val="24"/>
        </w:rPr>
        <w:t xml:space="preserve">окращение практики заключения договоров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502AE">
        <w:rPr>
          <w:rFonts w:ascii="Times New Roman" w:hAnsi="Times New Roman" w:cs="Times New Roman"/>
          <w:sz w:val="24"/>
          <w:szCs w:val="24"/>
        </w:rPr>
        <w:t>единственным поставщиком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02AE">
        <w:rPr>
          <w:rFonts w:ascii="Times New Roman" w:hAnsi="Times New Roman" w:cs="Times New Roman"/>
          <w:sz w:val="24"/>
          <w:szCs w:val="24"/>
        </w:rPr>
        <w:t xml:space="preserve"> в закупочной деятельности – не более 38% договоров.</w:t>
      </w:r>
    </w:p>
    <w:p w:rsidR="00E37EBD" w:rsidRPr="000111A0" w:rsidRDefault="00E37EBD" w:rsidP="00E37E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2022 - 2025 годы о</w:t>
      </w:r>
      <w:r w:rsidRPr="00FE101B">
        <w:rPr>
          <w:rFonts w:ascii="Times New Roman" w:hAnsi="Times New Roman" w:cs="Times New Roman"/>
          <w:sz w:val="24"/>
          <w:szCs w:val="24"/>
        </w:rPr>
        <w:t xml:space="preserve">бщий объем финансирования на реализацию мероприятий по содействию развитию конкуренции в рамках </w:t>
      </w:r>
      <w:r w:rsidRPr="006F6D1F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F6D1F">
        <w:rPr>
          <w:rFonts w:ascii="Times New Roman" w:hAnsi="Times New Roman" w:cs="Times New Roman"/>
          <w:sz w:val="24"/>
          <w:szCs w:val="24"/>
        </w:rPr>
        <w:t>Создание условий для и</w:t>
      </w:r>
      <w:r>
        <w:rPr>
          <w:rFonts w:ascii="Times New Roman" w:hAnsi="Times New Roman" w:cs="Times New Roman"/>
          <w:sz w:val="24"/>
          <w:szCs w:val="24"/>
        </w:rPr>
        <w:t>нвестиционной привлекательности региона»</w:t>
      </w:r>
      <w:r w:rsidRPr="006F6D1F">
        <w:rPr>
          <w:rFonts w:ascii="Times New Roman" w:hAnsi="Times New Roman" w:cs="Times New Roman"/>
          <w:sz w:val="24"/>
          <w:szCs w:val="24"/>
        </w:rPr>
        <w:t xml:space="preserve"> </w:t>
      </w:r>
      <w:r w:rsidRPr="00FE101B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10 040,00</w:t>
      </w:r>
      <w:r w:rsidRPr="00FE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E1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EBD" w:rsidRDefault="00E37EBD" w:rsidP="00E37E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1A0">
        <w:rPr>
          <w:rFonts w:ascii="Times New Roman" w:eastAsia="Times New Roman" w:hAnsi="Times New Roman" w:cs="Times New Roman"/>
          <w:sz w:val="24"/>
          <w:szCs w:val="24"/>
        </w:rPr>
        <w:t xml:space="preserve">Всеми органами исполнительной власти Ленинградской области, участвующими в реализации плана мероприятий («дорожной карты») по содействию развитию конкуренции, утвержденного распоряжением Губернатора от </w:t>
      </w:r>
      <w:r>
        <w:rPr>
          <w:rFonts w:ascii="Times New Roman" w:eastAsia="Times New Roman" w:hAnsi="Times New Roman" w:cs="Times New Roman"/>
          <w:sz w:val="24"/>
          <w:szCs w:val="24"/>
        </w:rPr>
        <w:t>29.12.2021 года № 1298</w:t>
      </w:r>
      <w:r w:rsidRPr="000111A0">
        <w:rPr>
          <w:rFonts w:ascii="Times New Roman" w:eastAsia="Times New Roman" w:hAnsi="Times New Roman" w:cs="Times New Roman"/>
          <w:sz w:val="24"/>
          <w:szCs w:val="24"/>
        </w:rPr>
        <w:t>-рг, правовыми актами были определены ответственные должностные лица и структурные подразделения с закреплением обязанностей в соответствующих должностных регламентах и положениях.</w:t>
      </w:r>
    </w:p>
    <w:p w:rsidR="00E37EBD" w:rsidRPr="000111A0" w:rsidRDefault="00E37EBD" w:rsidP="00E37E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EBD" w:rsidRPr="006A3693" w:rsidRDefault="00E37EBD" w:rsidP="00E37EBD">
      <w:pPr>
        <w:widowControl w:val="0"/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93">
        <w:rPr>
          <w:rFonts w:ascii="Times New Roman" w:eastAsia="Times New Roman" w:hAnsi="Times New Roman" w:cs="Times New Roman"/>
          <w:sz w:val="24"/>
          <w:szCs w:val="24"/>
        </w:rPr>
        <w:t>В 2018 году между Комитетом экономического развития и инвестиционной деятельности Ленингра</w:t>
      </w:r>
      <w:r>
        <w:rPr>
          <w:rFonts w:ascii="Times New Roman" w:eastAsia="Times New Roman" w:hAnsi="Times New Roman" w:cs="Times New Roman"/>
          <w:sz w:val="24"/>
          <w:szCs w:val="24"/>
        </w:rPr>
        <w:t>дской области и 18 муниципальными образованиями</w:t>
      </w:r>
      <w:r w:rsidRPr="006A3693">
        <w:rPr>
          <w:rFonts w:ascii="Times New Roman" w:eastAsia="Times New Roman" w:hAnsi="Times New Roman" w:cs="Times New Roman"/>
          <w:sz w:val="24"/>
          <w:szCs w:val="24"/>
        </w:rPr>
        <w:t xml:space="preserve"> (17 муниципальных районов и 1 городской округ) заключены соглашения по внедрению Стандарта. В 2020 году соглашения были актуализированы. </w:t>
      </w:r>
    </w:p>
    <w:p w:rsidR="00E37EBD" w:rsidRPr="006A3693" w:rsidRDefault="00E37EBD" w:rsidP="00E37EBD">
      <w:pPr>
        <w:widowControl w:val="0"/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93">
        <w:rPr>
          <w:rFonts w:ascii="Times New Roman" w:eastAsia="Times New Roman" w:hAnsi="Times New Roman" w:cs="Times New Roman"/>
          <w:sz w:val="24"/>
          <w:szCs w:val="24"/>
        </w:rPr>
        <w:t>Предметом заключенных соглашений является обеспечение взаимодействия между Уполномоченным органом и органами местного самоуправления муниципальных образований Ленинградской области с целью внедрения на территории Ленинградской области стандарта развития конкуренции в субъектах Российской Федерации.</w:t>
      </w:r>
    </w:p>
    <w:p w:rsidR="00E37EBD" w:rsidRDefault="00E37EBD" w:rsidP="00E37EBD">
      <w:pPr>
        <w:widowControl w:val="0"/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EBD" w:rsidRPr="006A3693" w:rsidRDefault="00E37EBD" w:rsidP="00E37EBD">
      <w:pPr>
        <w:widowControl w:val="0"/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93">
        <w:rPr>
          <w:rFonts w:ascii="Times New Roman" w:eastAsia="Times New Roman" w:hAnsi="Times New Roman" w:cs="Times New Roman"/>
          <w:sz w:val="24"/>
          <w:szCs w:val="24"/>
        </w:rPr>
        <w:t>Распоряжением Губернатора Ленинградской области от 15 февраля 2016 года №76-рг «О внедрении на территории Ленинградской области стандарта развития конкуренции в субъектах Российской Федерации» Уполномоченным органом по содействию развитию конкуренции на территории Ленинградской области определен Комитет экономического развития и инвестиционной деятельности Ленинградской области.</w:t>
      </w:r>
    </w:p>
    <w:p w:rsidR="00E37EBD" w:rsidRDefault="00E37EBD" w:rsidP="00E37E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7EBD" w:rsidRDefault="00E37EBD" w:rsidP="00E37E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проведенных в отчетном периоде в субъекте Российской Федерации обучающих мероприятиях и тренингах для органов местного самоуправления по вопросам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содействия развитию конкуренции:</w:t>
      </w:r>
    </w:p>
    <w:p w:rsidR="00E37EBD" w:rsidRPr="000F7C28" w:rsidRDefault="00E37EBD" w:rsidP="00E37EBD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16.02.2022 организован семинар для представителей структурных подразделений, курирующих вопросы содействия развитию конкуренции 18 муниципальных образований Ленинградской области по программе «Оценка развития конкуренция в муниципальных образованиях Ленинградской области. Антимонопольный </w:t>
      </w:r>
      <w:proofErr w:type="spellStart"/>
      <w:r w:rsidRPr="000F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комплаенс</w:t>
      </w:r>
      <w:proofErr w:type="spellEnd"/>
      <w:r w:rsidRPr="000F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E37EBD" w:rsidRDefault="00E37EBD" w:rsidP="00E37EBD">
      <w:pPr>
        <w:widowControl w:val="0"/>
        <w:tabs>
          <w:tab w:val="left" w:pos="1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19.09.2022-21.09.2022 </w:t>
      </w:r>
      <w:r w:rsidRPr="006A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организовано обучение представителей структурных подразделений, курирующих вопросы содействия развитию конкуренции муниципальных образований Ленинградской области по программе повышения квалификации по направлению «</w:t>
      </w:r>
      <w:r w:rsidRPr="007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Актуальные вопросы содействия развитию конкуренции. Антимонопольный </w:t>
      </w:r>
      <w:proofErr w:type="spellStart"/>
      <w:r w:rsidRPr="007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комплаенс</w:t>
      </w:r>
      <w:proofErr w:type="spellEnd"/>
      <w:r w:rsidRPr="006A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 Обучение было посвящено актуальным вопросам содействия развития конкуренции и повышения качества процессов, связанных с предоставлением услуг, влияющих на развитие конкуренции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а также вопросам внедрения антимонопольного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органах местного самоуправления.</w:t>
      </w:r>
    </w:p>
    <w:p w:rsidR="00E37EBD" w:rsidRPr="006A3693" w:rsidRDefault="00E37EBD" w:rsidP="00E37EBD">
      <w:pPr>
        <w:widowControl w:val="0"/>
        <w:tabs>
          <w:tab w:val="left" w:pos="1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7EBD" w:rsidRPr="00F538AA" w:rsidRDefault="00E37EBD" w:rsidP="00E37EBD">
      <w:pPr>
        <w:widowControl w:val="0"/>
        <w:tabs>
          <w:tab w:val="right" w:pos="9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A36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ab/>
        <w:t>Формирование рейтинга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МО области</w:t>
      </w:r>
      <w:r w:rsidRPr="006A36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осуществляется в соответствии с Постановлением Губернатора Ленинградской области от 11.02.2019 N 8-пг «О внесении изменений в постановление Губернатора Ленинградской области от 12 марта 2018 года № 10-пг 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47». </w:t>
      </w:r>
    </w:p>
    <w:p w:rsidR="00E37EBD" w:rsidRDefault="00E37EBD" w:rsidP="00E37E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E37EBD" w:rsidRPr="006A3693" w:rsidRDefault="00E37EBD" w:rsidP="00E37E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6A36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По вопросам содействия развитию конкуренции при Губернаторе Ленинградской области создан Совет по улучшению инвестиционного климата в Ленинградской области. Коллегиальный орган утвержден Распоряжением Губернатора Ленинградской области от 17.03.2016 № 147-рг.</w:t>
      </w:r>
    </w:p>
    <w:p w:rsidR="00E37EBD" w:rsidRPr="006A3693" w:rsidRDefault="00E37EBD" w:rsidP="00E37E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6A36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 целях организации взаимодействия органов исполнительной власти Ленинградской области, субъектов инвестиционной деятельности Ленинградской области, общественных и иных организаций Ленинградской области при Коллегиальном органе создана специализированная рабочая группа по вопросам развития конкуренции.</w:t>
      </w:r>
    </w:p>
    <w:p w:rsidR="00E37EBD" w:rsidRDefault="00E37EBD" w:rsidP="00E37E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7EBD" w:rsidRDefault="00E37EBD" w:rsidP="00E37E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7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отчетном периоде Уполномоченным органом</w:t>
      </w:r>
      <w:r w:rsidRPr="00AE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проведен открытый конкурс в электронной форме на оказание услуг проведения анализа, исследования и мониторинга состояния и развития конкурентной среды на рынках товаров, работ и услуг Ленинградской области, по итогам которого заключен государственный контракт №35/2022-КЭРИИД от 19.07.2022.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Исполнитель контракта - </w:t>
      </w:r>
      <w:r w:rsidRPr="00AE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ООО «</w:t>
      </w:r>
      <w:proofErr w:type="spellStart"/>
      <w:r w:rsidRPr="00AE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Маграм</w:t>
      </w:r>
      <w:proofErr w:type="spellEnd"/>
      <w:r w:rsidRPr="00AE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37EBD" w:rsidRDefault="00E37EBD" w:rsidP="00E37EBD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Отчёт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оказании услуг </w:t>
      </w:r>
      <w:r w:rsidRPr="00D1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«Анализ, исследования и мониторинг состояния и развития конкурентной среды на рынках товаров, работ и услуг Ленинградской области» размещен </w:t>
      </w:r>
      <w:hyperlink r:id="rId7" w:history="1">
        <w:r w:rsidRPr="00D1253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https://econ.lenobl.ru/ru/budget/competition/standard/monitoringa-sostoyaniya-i-razvitiya-konkurentnoj-sredy-na-rynkah-tovar/</w:t>
        </w:r>
      </w:hyperlink>
    </w:p>
    <w:p w:rsidR="00E37EBD" w:rsidRPr="00D12537" w:rsidRDefault="00E37EBD" w:rsidP="00E37E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7EBD" w:rsidRPr="00CD0F1A" w:rsidRDefault="00E37EBD" w:rsidP="00E3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D0F1A">
        <w:rPr>
          <w:rFonts w:ascii="Times New Roman" w:eastAsia="Calibri" w:hAnsi="Times New Roman" w:cs="Times New Roman"/>
          <w:sz w:val="24"/>
          <w:szCs w:val="24"/>
        </w:rPr>
        <w:t>Количество субъектов малого и среднего предпринимательства (далее – субъекты МСП) в Ленинградской области по состоянию на 10 января 2023 года</w:t>
      </w:r>
      <w:r w:rsidR="00B21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F1A">
        <w:rPr>
          <w:rFonts w:ascii="Times New Roman" w:eastAsia="Calibri" w:hAnsi="Times New Roman" w:cs="Times New Roman"/>
          <w:sz w:val="24"/>
          <w:szCs w:val="24"/>
        </w:rPr>
        <w:t>в соответствии с единым реестром субъектов малого и среднего предпринимательства составляет 72 655 единицы (прирост к значению 2021 года составил 4,7%). В целом по Российской Федерации количество субъектов МСП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F1A">
        <w:rPr>
          <w:rFonts w:ascii="Times New Roman" w:eastAsia="Calibri" w:hAnsi="Times New Roman" w:cs="Times New Roman"/>
          <w:sz w:val="24"/>
          <w:szCs w:val="24"/>
        </w:rPr>
        <w:t xml:space="preserve">за 2021 год увеличилось на 2,1 %; в Ленинградской области основной рост количества субъектов МСП произошел в разрезе </w:t>
      </w:r>
      <w:proofErr w:type="spellStart"/>
      <w:r w:rsidRPr="00CD0F1A">
        <w:rPr>
          <w:rFonts w:ascii="Times New Roman" w:eastAsia="Calibri" w:hAnsi="Times New Roman" w:cs="Times New Roman"/>
          <w:sz w:val="24"/>
          <w:szCs w:val="24"/>
        </w:rPr>
        <w:t>микропредприятий</w:t>
      </w:r>
      <w:proofErr w:type="spellEnd"/>
      <w:r w:rsidRPr="00CD0F1A">
        <w:rPr>
          <w:rFonts w:ascii="Times New Roman" w:eastAsia="Calibri" w:hAnsi="Times New Roman" w:cs="Times New Roman"/>
          <w:sz w:val="24"/>
          <w:szCs w:val="24"/>
        </w:rPr>
        <w:t>. Распределение субъектов МСП по типам представлено в нижеследующей таблице.</w:t>
      </w:r>
    </w:p>
    <w:p w:rsidR="00E37EBD" w:rsidRPr="00CD0F1A" w:rsidRDefault="00E37EBD" w:rsidP="00E3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D79" w:rsidRDefault="00B21D79" w:rsidP="00E37E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D79" w:rsidRDefault="00B21D79" w:rsidP="00E37E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D79" w:rsidRDefault="00B21D79" w:rsidP="00E37E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7EBD" w:rsidRPr="00CD0F1A" w:rsidRDefault="00E37EBD" w:rsidP="00E37E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1. </w:t>
      </w:r>
      <w:r w:rsidRPr="00CD0F1A">
        <w:rPr>
          <w:rFonts w:ascii="Times New Roman" w:eastAsia="Calibri" w:hAnsi="Times New Roman" w:cs="Times New Roman"/>
          <w:sz w:val="24"/>
          <w:szCs w:val="24"/>
        </w:rPr>
        <w:t>Распределение субъектов МСП Ленинградской области по типам по состоянию на 10.01.2023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403"/>
        <w:gridCol w:w="4673"/>
      </w:tblGrid>
      <w:tr w:rsidR="00E37EBD" w:rsidRPr="00CD0F1A" w:rsidTr="00EE5C5A">
        <w:trPr>
          <w:tblHeader/>
        </w:trPr>
        <w:tc>
          <w:tcPr>
            <w:tcW w:w="880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D0F1A">
              <w:rPr>
                <w:rFonts w:ascii="Times New Roman" w:eastAsia="Calibri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507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F1A">
              <w:rPr>
                <w:rFonts w:ascii="Times New Roman" w:eastAsia="Calibri" w:hAnsi="Times New Roman" w:cs="Times New Roman"/>
                <w:b/>
              </w:rPr>
              <w:t>Тип субъектов МСП</w:t>
            </w:r>
          </w:p>
        </w:tc>
        <w:tc>
          <w:tcPr>
            <w:tcW w:w="4819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F1A">
              <w:rPr>
                <w:rFonts w:ascii="Times New Roman" w:eastAsia="Calibri" w:hAnsi="Times New Roman" w:cs="Times New Roman"/>
                <w:b/>
              </w:rPr>
              <w:t>Количество</w:t>
            </w:r>
            <w:r w:rsidRPr="00CD0F1A">
              <w:rPr>
                <w:rFonts w:ascii="Times New Roman" w:eastAsia="Calibri" w:hAnsi="Times New Roman" w:cs="Times New Roman"/>
              </w:rPr>
              <w:t xml:space="preserve"> </w:t>
            </w:r>
            <w:r w:rsidRPr="00CD0F1A">
              <w:rPr>
                <w:rFonts w:ascii="Times New Roman" w:eastAsia="Calibri" w:hAnsi="Times New Roman" w:cs="Times New Roman"/>
                <w:b/>
              </w:rPr>
              <w:t>субъектов МСП, единиц</w:t>
            </w:r>
          </w:p>
        </w:tc>
      </w:tr>
      <w:tr w:rsidR="00E37EBD" w:rsidRPr="00CD0F1A" w:rsidTr="00EE5C5A">
        <w:tc>
          <w:tcPr>
            <w:tcW w:w="10206" w:type="dxa"/>
            <w:gridSpan w:val="3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F1A">
              <w:rPr>
                <w:rFonts w:ascii="Times New Roman" w:eastAsia="Calibri" w:hAnsi="Times New Roman" w:cs="Times New Roman"/>
                <w:b/>
              </w:rPr>
              <w:t>1. Юридические лица</w:t>
            </w:r>
          </w:p>
        </w:tc>
      </w:tr>
      <w:tr w:rsidR="00E37EBD" w:rsidRPr="00CD0F1A" w:rsidTr="00EE5C5A">
        <w:tc>
          <w:tcPr>
            <w:tcW w:w="880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D0F1A">
              <w:rPr>
                <w:rFonts w:ascii="Times New Roman" w:eastAsia="Calibri" w:hAnsi="Times New Roman" w:cs="Times New Roman"/>
                <w:b/>
                <w:sz w:val="28"/>
              </w:rPr>
              <w:t>1.1</w:t>
            </w:r>
          </w:p>
        </w:tc>
        <w:tc>
          <w:tcPr>
            <w:tcW w:w="4507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Среднее предприятие</w:t>
            </w:r>
          </w:p>
        </w:tc>
        <w:tc>
          <w:tcPr>
            <w:tcW w:w="4819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228</w:t>
            </w:r>
          </w:p>
        </w:tc>
      </w:tr>
      <w:tr w:rsidR="00E37EBD" w:rsidRPr="00CD0F1A" w:rsidTr="00EE5C5A">
        <w:tc>
          <w:tcPr>
            <w:tcW w:w="880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D0F1A">
              <w:rPr>
                <w:rFonts w:ascii="Times New Roman" w:eastAsia="Calibri" w:hAnsi="Times New Roman" w:cs="Times New Roman"/>
                <w:b/>
                <w:sz w:val="28"/>
              </w:rPr>
              <w:t>1.2</w:t>
            </w:r>
          </w:p>
        </w:tc>
        <w:tc>
          <w:tcPr>
            <w:tcW w:w="4507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Малое предприятие</w:t>
            </w:r>
          </w:p>
        </w:tc>
        <w:tc>
          <w:tcPr>
            <w:tcW w:w="4819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1 766</w:t>
            </w:r>
          </w:p>
        </w:tc>
      </w:tr>
      <w:tr w:rsidR="00E37EBD" w:rsidRPr="00CD0F1A" w:rsidTr="00EE5C5A">
        <w:tc>
          <w:tcPr>
            <w:tcW w:w="880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D0F1A">
              <w:rPr>
                <w:rFonts w:ascii="Times New Roman" w:eastAsia="Calibri" w:hAnsi="Times New Roman" w:cs="Times New Roman"/>
                <w:b/>
                <w:sz w:val="28"/>
              </w:rPr>
              <w:t>1.3</w:t>
            </w:r>
          </w:p>
        </w:tc>
        <w:tc>
          <w:tcPr>
            <w:tcW w:w="4507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D0F1A">
              <w:rPr>
                <w:rFonts w:ascii="Times New Roman" w:eastAsia="Calibri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18 071</w:t>
            </w:r>
          </w:p>
        </w:tc>
      </w:tr>
      <w:tr w:rsidR="00E37EBD" w:rsidRPr="00CD0F1A" w:rsidTr="00EE5C5A">
        <w:tc>
          <w:tcPr>
            <w:tcW w:w="5387" w:type="dxa"/>
            <w:gridSpan w:val="2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0F1A">
              <w:rPr>
                <w:rFonts w:ascii="Times New Roman" w:eastAsia="Calibri" w:hAnsi="Times New Roman" w:cs="Times New Roman"/>
                <w:b/>
              </w:rPr>
              <w:t>Всего по п. 1</w:t>
            </w:r>
          </w:p>
        </w:tc>
        <w:tc>
          <w:tcPr>
            <w:tcW w:w="4819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 xml:space="preserve">20 065 </w:t>
            </w:r>
          </w:p>
        </w:tc>
      </w:tr>
      <w:tr w:rsidR="00E37EBD" w:rsidRPr="00CD0F1A" w:rsidTr="00EE5C5A">
        <w:tc>
          <w:tcPr>
            <w:tcW w:w="10206" w:type="dxa"/>
            <w:gridSpan w:val="3"/>
            <w:shd w:val="clear" w:color="auto" w:fill="auto"/>
          </w:tcPr>
          <w:p w:rsidR="00E37EBD" w:rsidRPr="00CD0F1A" w:rsidRDefault="00E37EBD" w:rsidP="00EE5C5A">
            <w:pPr>
              <w:tabs>
                <w:tab w:val="left" w:pos="795"/>
                <w:tab w:val="center" w:pos="38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F1A">
              <w:rPr>
                <w:rFonts w:ascii="Times New Roman" w:eastAsia="Calibri" w:hAnsi="Times New Roman" w:cs="Times New Roman"/>
                <w:b/>
              </w:rPr>
              <w:t>2. Индивидуальные предприниматели</w:t>
            </w:r>
          </w:p>
        </w:tc>
      </w:tr>
      <w:tr w:rsidR="00E37EBD" w:rsidRPr="00CD0F1A" w:rsidTr="00EE5C5A">
        <w:tc>
          <w:tcPr>
            <w:tcW w:w="880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D0F1A">
              <w:rPr>
                <w:rFonts w:ascii="Times New Roman" w:eastAsia="Calibri" w:hAnsi="Times New Roman" w:cs="Times New Roman"/>
                <w:b/>
                <w:sz w:val="28"/>
              </w:rPr>
              <w:t>2.1</w:t>
            </w:r>
          </w:p>
        </w:tc>
        <w:tc>
          <w:tcPr>
            <w:tcW w:w="4507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Среднее предприятие</w:t>
            </w:r>
          </w:p>
        </w:tc>
        <w:tc>
          <w:tcPr>
            <w:tcW w:w="4819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37EBD" w:rsidRPr="00CD0F1A" w:rsidTr="00EE5C5A">
        <w:tc>
          <w:tcPr>
            <w:tcW w:w="880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D0F1A">
              <w:rPr>
                <w:rFonts w:ascii="Times New Roman" w:eastAsia="Calibri" w:hAnsi="Times New Roman" w:cs="Times New Roman"/>
                <w:b/>
                <w:sz w:val="28"/>
              </w:rPr>
              <w:t>2.2</w:t>
            </w:r>
          </w:p>
        </w:tc>
        <w:tc>
          <w:tcPr>
            <w:tcW w:w="4507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Малое предприятие</w:t>
            </w:r>
          </w:p>
        </w:tc>
        <w:tc>
          <w:tcPr>
            <w:tcW w:w="4819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342</w:t>
            </w:r>
          </w:p>
        </w:tc>
      </w:tr>
      <w:tr w:rsidR="00E37EBD" w:rsidRPr="00CD0F1A" w:rsidTr="00EE5C5A">
        <w:tc>
          <w:tcPr>
            <w:tcW w:w="880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D0F1A">
              <w:rPr>
                <w:rFonts w:ascii="Times New Roman" w:eastAsia="Calibri" w:hAnsi="Times New Roman" w:cs="Times New Roman"/>
                <w:b/>
                <w:sz w:val="28"/>
              </w:rPr>
              <w:t>2.3</w:t>
            </w:r>
          </w:p>
        </w:tc>
        <w:tc>
          <w:tcPr>
            <w:tcW w:w="4507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D0F1A">
              <w:rPr>
                <w:rFonts w:ascii="Times New Roman" w:eastAsia="Calibri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52 244</w:t>
            </w:r>
          </w:p>
        </w:tc>
      </w:tr>
      <w:tr w:rsidR="00E37EBD" w:rsidRPr="00CD0F1A" w:rsidTr="00EE5C5A">
        <w:tc>
          <w:tcPr>
            <w:tcW w:w="5387" w:type="dxa"/>
            <w:gridSpan w:val="2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0F1A">
              <w:rPr>
                <w:rFonts w:ascii="Times New Roman" w:eastAsia="Calibri" w:hAnsi="Times New Roman" w:cs="Times New Roman"/>
                <w:b/>
              </w:rPr>
              <w:t xml:space="preserve">Всего по </w:t>
            </w:r>
            <w:proofErr w:type="spellStart"/>
            <w:r w:rsidRPr="00CD0F1A">
              <w:rPr>
                <w:rFonts w:ascii="Times New Roman" w:eastAsia="Calibri" w:hAnsi="Times New Roman" w:cs="Times New Roman"/>
                <w:b/>
              </w:rPr>
              <w:t>пю</w:t>
            </w:r>
            <w:proofErr w:type="spellEnd"/>
            <w:r w:rsidRPr="00CD0F1A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4819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52 590</w:t>
            </w:r>
          </w:p>
        </w:tc>
      </w:tr>
      <w:tr w:rsidR="00E37EBD" w:rsidRPr="00CD0F1A" w:rsidTr="00EE5C5A">
        <w:tc>
          <w:tcPr>
            <w:tcW w:w="5387" w:type="dxa"/>
            <w:gridSpan w:val="2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0F1A">
              <w:rPr>
                <w:rFonts w:ascii="Times New Roman" w:eastAsia="Calibri" w:hAnsi="Times New Roman" w:cs="Times New Roman"/>
                <w:b/>
              </w:rPr>
              <w:t>ИТОГО МСП</w:t>
            </w:r>
          </w:p>
        </w:tc>
        <w:tc>
          <w:tcPr>
            <w:tcW w:w="4819" w:type="dxa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F1A">
              <w:rPr>
                <w:rFonts w:ascii="Times New Roman" w:eastAsia="Calibri" w:hAnsi="Times New Roman" w:cs="Times New Roman"/>
                <w:b/>
              </w:rPr>
              <w:t>72 655</w:t>
            </w:r>
          </w:p>
        </w:tc>
      </w:tr>
    </w:tbl>
    <w:p w:rsidR="00E37EBD" w:rsidRPr="00CD0F1A" w:rsidRDefault="00E37EBD" w:rsidP="00E3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EBD" w:rsidRPr="00CD0F1A" w:rsidRDefault="00E37EBD" w:rsidP="00E3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1A">
        <w:rPr>
          <w:rFonts w:ascii="Times New Roman" w:eastAsia="Calibri" w:hAnsi="Times New Roman" w:cs="Times New Roman"/>
          <w:sz w:val="24"/>
          <w:szCs w:val="24"/>
        </w:rPr>
        <w:t>Количество вновь созданных субъектов МСП на указанную отчетную дату составило 14109, в том числе юридических лиц – 2 166 и индивидуальных предпринимателей – 11 943. Сведения о наиболее распространенных видах деятельности вновь созданных субъектов МСП по итогам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приводятся </w:t>
      </w:r>
      <w:r w:rsidRPr="00CD0F1A">
        <w:rPr>
          <w:rFonts w:ascii="Times New Roman" w:eastAsia="Calibri" w:hAnsi="Times New Roman" w:cs="Times New Roman"/>
          <w:sz w:val="24"/>
          <w:szCs w:val="24"/>
        </w:rPr>
        <w:t>в нижеследующей таблице.</w:t>
      </w:r>
    </w:p>
    <w:p w:rsidR="00E37EBD" w:rsidRPr="00CD0F1A" w:rsidRDefault="00E37EBD" w:rsidP="00E3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EBD" w:rsidRPr="00CD0F1A" w:rsidRDefault="00E37EBD" w:rsidP="00E37EB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Таблица 2. </w:t>
      </w:r>
      <w:r w:rsidRPr="00CD0F1A">
        <w:rPr>
          <w:rFonts w:ascii="Times New Roman" w:eastAsia="SimSun" w:hAnsi="Times New Roman" w:cs="Times New Roman"/>
          <w:sz w:val="24"/>
          <w:szCs w:val="24"/>
        </w:rPr>
        <w:t xml:space="preserve">Наиболее </w:t>
      </w:r>
      <w:r w:rsidRPr="00CD0F1A">
        <w:rPr>
          <w:rFonts w:ascii="Times New Roman" w:eastAsia="Calibri" w:hAnsi="Times New Roman" w:cs="Times New Roman"/>
          <w:sz w:val="24"/>
          <w:szCs w:val="24"/>
        </w:rPr>
        <w:t>распространенные виды деятельности вновь созданных субъектов МСП</w:t>
      </w:r>
      <w:r w:rsidRPr="00CD0F1A">
        <w:rPr>
          <w:rFonts w:ascii="Times New Roman" w:eastAsia="Calibri" w:hAnsi="Times New Roman" w:cs="Times New Roman"/>
          <w:sz w:val="24"/>
          <w:szCs w:val="24"/>
        </w:rPr>
        <w:br/>
        <w:t>по итогам 2022 года (в разрезе кодов ОКВЭД)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778"/>
        <w:gridCol w:w="1713"/>
        <w:gridCol w:w="1815"/>
      </w:tblGrid>
      <w:tr w:rsidR="00E37EBD" w:rsidRPr="00CD0F1A" w:rsidTr="00EE5C5A">
        <w:trPr>
          <w:tblHeader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F1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778" w:type="dxa"/>
            <w:vMerge w:val="restart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F1A">
              <w:rPr>
                <w:rFonts w:ascii="Times New Roman" w:eastAsia="Calibri" w:hAnsi="Times New Roman" w:cs="Times New Roman"/>
                <w:b/>
              </w:rPr>
              <w:t>Код ОКВЭД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F1A">
              <w:rPr>
                <w:rFonts w:ascii="Times New Roman" w:eastAsia="Calibri" w:hAnsi="Times New Roman" w:cs="Times New Roman"/>
                <w:b/>
              </w:rPr>
              <w:t>По итогам 2022 года</w:t>
            </w:r>
          </w:p>
        </w:tc>
      </w:tr>
      <w:tr w:rsidR="00E37EBD" w:rsidRPr="00CD0F1A" w:rsidTr="00EE5C5A">
        <w:trPr>
          <w:tblHeader/>
        </w:trPr>
        <w:tc>
          <w:tcPr>
            <w:tcW w:w="617" w:type="dxa"/>
            <w:vMerge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78" w:type="dxa"/>
            <w:vMerge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F1A">
              <w:rPr>
                <w:rFonts w:ascii="Times New Roman" w:eastAsia="Calibri" w:hAnsi="Times New Roman" w:cs="Times New Roman"/>
                <w:b/>
              </w:rPr>
              <w:t>Количество вновь созданных, ед.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F1A">
              <w:rPr>
                <w:rFonts w:ascii="Times New Roman" w:eastAsia="Calibri" w:hAnsi="Times New Roman" w:cs="Times New Roman"/>
                <w:b/>
              </w:rPr>
              <w:t>Доля от общего количества вновь созданных МСП, %</w:t>
            </w:r>
          </w:p>
        </w:tc>
      </w:tr>
      <w:tr w:rsidR="00E37EBD" w:rsidRPr="00CD0F1A" w:rsidTr="00EE5C5A">
        <w:tc>
          <w:tcPr>
            <w:tcW w:w="617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5183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36,7</w:t>
            </w:r>
          </w:p>
        </w:tc>
      </w:tr>
      <w:tr w:rsidR="00E37EBD" w:rsidRPr="00CD0F1A" w:rsidTr="00EE5C5A">
        <w:tc>
          <w:tcPr>
            <w:tcW w:w="617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E37EBD" w:rsidRPr="00CD0F1A" w:rsidRDefault="00F70A42" w:rsidP="00EE5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="00E37EBD" w:rsidRPr="00CD0F1A">
                <w:rPr>
                  <w:rFonts w:ascii="Times New Roman" w:eastAsia="Calibri" w:hAnsi="Times New Roman" w:cs="Times New Roman"/>
                </w:rPr>
                <w:t>Строительство</w:t>
              </w:r>
            </w:hyperlink>
          </w:p>
        </w:tc>
        <w:tc>
          <w:tcPr>
            <w:tcW w:w="1713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1974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14,0</w:t>
            </w:r>
          </w:p>
        </w:tc>
      </w:tr>
      <w:tr w:rsidR="00E37EBD" w:rsidRPr="00CD0F1A" w:rsidTr="00EE5C5A">
        <w:tc>
          <w:tcPr>
            <w:tcW w:w="617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E37EBD" w:rsidRPr="00CD0F1A" w:rsidRDefault="00F70A42" w:rsidP="00EE5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="00E37EBD" w:rsidRPr="00CD0F1A">
                <w:rPr>
                  <w:rFonts w:ascii="Times New Roman" w:eastAsia="Calibri" w:hAnsi="Times New Roman" w:cs="Times New Roman"/>
                </w:rPr>
                <w:t>Транспортировка и хранение</w:t>
              </w:r>
            </w:hyperlink>
          </w:p>
        </w:tc>
        <w:tc>
          <w:tcPr>
            <w:tcW w:w="1713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1406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E37EBD" w:rsidRPr="00CD0F1A" w:rsidTr="00EE5C5A">
        <w:tc>
          <w:tcPr>
            <w:tcW w:w="617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E37EBD" w:rsidRPr="00CD0F1A" w:rsidRDefault="00F70A42" w:rsidP="00EE5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0" w:history="1">
              <w:r w:rsidR="00E37EBD" w:rsidRPr="00CD0F1A">
                <w:rPr>
                  <w:rFonts w:ascii="Times New Roman" w:eastAsia="Calibri" w:hAnsi="Times New Roman" w:cs="Times New Roman"/>
                </w:rPr>
                <w:t>Обрабатывающие производства</w:t>
              </w:r>
            </w:hyperlink>
          </w:p>
        </w:tc>
        <w:tc>
          <w:tcPr>
            <w:tcW w:w="1713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869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6,2</w:t>
            </w:r>
          </w:p>
        </w:tc>
      </w:tr>
      <w:tr w:rsidR="00E37EBD" w:rsidRPr="00CD0F1A" w:rsidTr="00EE5C5A">
        <w:tc>
          <w:tcPr>
            <w:tcW w:w="617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E37EBD" w:rsidRPr="00CD0F1A" w:rsidRDefault="00F70A42" w:rsidP="00EE5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="00E37EBD" w:rsidRPr="00CD0F1A">
                <w:rPr>
                  <w:rFonts w:ascii="Times New Roman" w:eastAsia="Calibri" w:hAnsi="Times New Roman" w:cs="Times New Roman"/>
                </w:rPr>
                <w:t>Деятельность гостиниц и предприятий общественного питания</w:t>
              </w:r>
            </w:hyperlink>
          </w:p>
        </w:tc>
        <w:tc>
          <w:tcPr>
            <w:tcW w:w="1713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654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4,6</w:t>
            </w:r>
          </w:p>
        </w:tc>
      </w:tr>
      <w:tr w:rsidR="00E37EBD" w:rsidRPr="00CD0F1A" w:rsidTr="00EE5C5A">
        <w:tc>
          <w:tcPr>
            <w:tcW w:w="617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E37EBD" w:rsidRPr="00CD0F1A" w:rsidRDefault="00F70A42" w:rsidP="00EE5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2" w:history="1">
              <w:r w:rsidR="00E37EBD" w:rsidRPr="00CD0F1A">
                <w:rPr>
                  <w:rFonts w:ascii="Times New Roman" w:eastAsia="Calibri" w:hAnsi="Times New Roman" w:cs="Times New Roman"/>
                </w:rPr>
                <w:t>Деятельность в области информации и связи</w:t>
              </w:r>
            </w:hyperlink>
          </w:p>
        </w:tc>
        <w:tc>
          <w:tcPr>
            <w:tcW w:w="1713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596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4,2</w:t>
            </w:r>
          </w:p>
        </w:tc>
      </w:tr>
      <w:tr w:rsidR="00E37EBD" w:rsidRPr="00CD0F1A" w:rsidTr="00EE5C5A">
        <w:tc>
          <w:tcPr>
            <w:tcW w:w="617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78" w:type="dxa"/>
            <w:shd w:val="clear" w:color="auto" w:fill="auto"/>
            <w:vAlign w:val="bottom"/>
          </w:tcPr>
          <w:p w:rsidR="00E37EBD" w:rsidRPr="00CD0F1A" w:rsidRDefault="00E37EBD" w:rsidP="00EE5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1,8</w:t>
            </w:r>
          </w:p>
        </w:tc>
      </w:tr>
      <w:tr w:rsidR="00E37EBD" w:rsidRPr="00CD0F1A" w:rsidTr="00EE5C5A">
        <w:tc>
          <w:tcPr>
            <w:tcW w:w="617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78" w:type="dxa"/>
            <w:shd w:val="clear" w:color="auto" w:fill="auto"/>
            <w:vAlign w:val="bottom"/>
          </w:tcPr>
          <w:p w:rsidR="00E37EBD" w:rsidRPr="00CD0F1A" w:rsidRDefault="00F70A42" w:rsidP="00EE5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3" w:history="1">
              <w:r w:rsidR="00E37EBD" w:rsidRPr="00CD0F1A">
                <w:rPr>
                  <w:rFonts w:ascii="Times New Roman" w:eastAsia="Calibri" w:hAnsi="Times New Roman" w:cs="Times New Roman"/>
                </w:rPr>
                <w:t>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713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215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E37EBD" w:rsidRPr="00CD0F1A" w:rsidTr="00EE5C5A">
        <w:tc>
          <w:tcPr>
            <w:tcW w:w="617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E37EBD" w:rsidRPr="00CD0F1A" w:rsidRDefault="00F70A42" w:rsidP="00EE5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4" w:history="1">
              <w:r w:rsidR="00E37EBD" w:rsidRPr="00CD0F1A">
                <w:rPr>
                  <w:rFonts w:ascii="Times New Roman" w:eastAsia="Calibri" w:hAnsi="Times New Roman" w:cs="Times New Roman"/>
                </w:rPr>
                <w:t>Сельское, лесное хозяйство, охота, рыболовство и рыбоводство</w:t>
              </w:r>
            </w:hyperlink>
          </w:p>
        </w:tc>
        <w:tc>
          <w:tcPr>
            <w:tcW w:w="1713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203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1,4</w:t>
            </w:r>
          </w:p>
        </w:tc>
      </w:tr>
      <w:tr w:rsidR="00E37EBD" w:rsidRPr="00CD0F1A" w:rsidTr="00EE5C5A">
        <w:tc>
          <w:tcPr>
            <w:tcW w:w="617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0F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78" w:type="dxa"/>
            <w:shd w:val="clear" w:color="auto" w:fill="auto"/>
            <w:vAlign w:val="bottom"/>
          </w:tcPr>
          <w:p w:rsidR="00E37EBD" w:rsidRPr="00CD0F1A" w:rsidRDefault="00F70A42" w:rsidP="00EE5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5" w:history="1">
              <w:r w:rsidR="00E37EBD" w:rsidRPr="00CD0F1A">
                <w:rPr>
                  <w:rFonts w:ascii="Times New Roman" w:eastAsia="Calibri" w:hAnsi="Times New Roman" w:cs="Times New Roman"/>
                </w:rPr>
                <w:t>Деятельность в области здравоохранения и социальных услуг</w:t>
              </w:r>
            </w:hyperlink>
          </w:p>
        </w:tc>
        <w:tc>
          <w:tcPr>
            <w:tcW w:w="1713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D0F1A"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37EBD" w:rsidRPr="00CD0F1A" w:rsidRDefault="00E37EBD" w:rsidP="00EE5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D0F1A">
              <w:rPr>
                <w:rFonts w:ascii="Times New Roman" w:eastAsia="Calibri" w:hAnsi="Times New Roman" w:cs="Times New Roman"/>
                <w:color w:val="000000"/>
              </w:rPr>
              <w:t>0,7</w:t>
            </w:r>
          </w:p>
        </w:tc>
      </w:tr>
    </w:tbl>
    <w:p w:rsidR="00E37EBD" w:rsidRPr="00CD0F1A" w:rsidRDefault="00E37EBD" w:rsidP="00E3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37EBD" w:rsidRPr="00CD0F1A" w:rsidRDefault="00E37EBD" w:rsidP="00E3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1A">
        <w:rPr>
          <w:rFonts w:ascii="Times New Roman" w:eastAsia="Calibri" w:hAnsi="Times New Roman" w:cs="Times New Roman"/>
          <w:sz w:val="24"/>
          <w:szCs w:val="24"/>
        </w:rPr>
        <w:t>Наибольшее количество вновь созданных субъектов МСП было создано</w:t>
      </w:r>
      <w:r w:rsidRPr="00CD0F1A">
        <w:rPr>
          <w:rFonts w:ascii="Times New Roman" w:eastAsia="Calibri" w:hAnsi="Times New Roman" w:cs="Times New Roman"/>
          <w:sz w:val="24"/>
          <w:szCs w:val="24"/>
        </w:rPr>
        <w:br/>
        <w:t>в следующих муниципальных образованиях Ленинградской области:</w:t>
      </w:r>
    </w:p>
    <w:p w:rsidR="00E37EBD" w:rsidRPr="00CD0F1A" w:rsidRDefault="00E37EBD" w:rsidP="00E37E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1A">
        <w:rPr>
          <w:rFonts w:ascii="Times New Roman" w:eastAsia="Calibri" w:hAnsi="Times New Roman" w:cs="Times New Roman"/>
          <w:sz w:val="24"/>
          <w:szCs w:val="24"/>
        </w:rPr>
        <w:t>Всеволожский район – 5 263 единиц;</w:t>
      </w:r>
    </w:p>
    <w:p w:rsidR="00E37EBD" w:rsidRPr="00CD0F1A" w:rsidRDefault="00E37EBD" w:rsidP="00E37E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1A">
        <w:rPr>
          <w:rFonts w:ascii="Times New Roman" w:eastAsia="Calibri" w:hAnsi="Times New Roman" w:cs="Times New Roman"/>
          <w:sz w:val="24"/>
          <w:szCs w:val="24"/>
        </w:rPr>
        <w:t>Гатчинский район – 1 682 единиц;</w:t>
      </w:r>
    </w:p>
    <w:p w:rsidR="00E37EBD" w:rsidRPr="00CD0F1A" w:rsidRDefault="00E37EBD" w:rsidP="00E37E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1A">
        <w:rPr>
          <w:rFonts w:ascii="Times New Roman" w:eastAsia="Calibri" w:hAnsi="Times New Roman" w:cs="Times New Roman"/>
          <w:sz w:val="24"/>
          <w:szCs w:val="24"/>
        </w:rPr>
        <w:t>Выборгский район – 1 036 единиц;</w:t>
      </w:r>
    </w:p>
    <w:p w:rsidR="00E37EBD" w:rsidRPr="00CD0F1A" w:rsidRDefault="00E37EBD" w:rsidP="00E37E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1A">
        <w:rPr>
          <w:rFonts w:ascii="Times New Roman" w:eastAsia="Calibri" w:hAnsi="Times New Roman" w:cs="Times New Roman"/>
          <w:sz w:val="24"/>
          <w:szCs w:val="24"/>
        </w:rPr>
        <w:t>Ломоносовский район – 993 единиц;</w:t>
      </w:r>
    </w:p>
    <w:p w:rsidR="00E37EBD" w:rsidRPr="00CD0F1A" w:rsidRDefault="00E37EBD" w:rsidP="00E37E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0F1A">
        <w:rPr>
          <w:rFonts w:ascii="Times New Roman" w:eastAsia="Calibri" w:hAnsi="Times New Roman" w:cs="Times New Roman"/>
          <w:sz w:val="24"/>
          <w:szCs w:val="24"/>
        </w:rPr>
        <w:lastRenderedPageBreak/>
        <w:t>Тосненский</w:t>
      </w:r>
      <w:proofErr w:type="spellEnd"/>
      <w:r w:rsidRPr="00CD0F1A">
        <w:rPr>
          <w:rFonts w:ascii="Times New Roman" w:eastAsia="Calibri" w:hAnsi="Times New Roman" w:cs="Times New Roman"/>
          <w:sz w:val="24"/>
          <w:szCs w:val="24"/>
        </w:rPr>
        <w:t xml:space="preserve"> район – 823 единицы.</w:t>
      </w:r>
    </w:p>
    <w:p w:rsidR="00E37EBD" w:rsidRDefault="00E37EBD" w:rsidP="00E3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1A">
        <w:rPr>
          <w:rFonts w:ascii="Times New Roman" w:eastAsia="Calibri" w:hAnsi="Times New Roman" w:cs="Times New Roman"/>
          <w:sz w:val="24"/>
          <w:szCs w:val="24"/>
        </w:rPr>
        <w:t xml:space="preserve">Численность занятых в сфере МСП составила более 310,5 тысяч </w:t>
      </w:r>
      <w:proofErr w:type="gramStart"/>
      <w:r w:rsidRPr="00CD0F1A">
        <w:rPr>
          <w:rFonts w:ascii="Times New Roman" w:eastAsia="Calibri" w:hAnsi="Times New Roman" w:cs="Times New Roman"/>
          <w:sz w:val="24"/>
          <w:szCs w:val="24"/>
        </w:rPr>
        <w:t>человек,</w:t>
      </w:r>
      <w:r w:rsidRPr="00CD0F1A">
        <w:rPr>
          <w:rFonts w:ascii="Times New Roman" w:eastAsia="Calibri" w:hAnsi="Times New Roman" w:cs="Times New Roman"/>
          <w:sz w:val="24"/>
          <w:szCs w:val="24"/>
        </w:rPr>
        <w:br/>
        <w:t>что</w:t>
      </w:r>
      <w:proofErr w:type="gramEnd"/>
      <w:r w:rsidRPr="00CD0F1A">
        <w:rPr>
          <w:rFonts w:ascii="Times New Roman" w:eastAsia="Calibri" w:hAnsi="Times New Roman" w:cs="Times New Roman"/>
          <w:sz w:val="24"/>
          <w:szCs w:val="24"/>
        </w:rPr>
        <w:t xml:space="preserve"> на 18,6 тысяч человек больше, чем в 2021 году. Рост численности занятых обеспечен, в том числе, благодаря введению специального налогового режима «Налог на профессиональный доход»; по итогам 2022 года количество зарегистрированных </w:t>
      </w:r>
      <w:proofErr w:type="spellStart"/>
      <w:r w:rsidRPr="00CD0F1A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CD0F1A">
        <w:rPr>
          <w:rFonts w:ascii="Times New Roman" w:eastAsia="Calibri" w:hAnsi="Times New Roman" w:cs="Times New Roman"/>
          <w:sz w:val="24"/>
          <w:szCs w:val="24"/>
        </w:rPr>
        <w:t xml:space="preserve"> составило 72,6 тысяч человек, что более чем в 1,5 раза больше, чем по итогам 2021 года.</w:t>
      </w:r>
    </w:p>
    <w:p w:rsidR="00E37EBD" w:rsidRPr="00CD0F1A" w:rsidRDefault="00E37EBD" w:rsidP="00E3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EBD" w:rsidRPr="00FD2744" w:rsidRDefault="00E37EBD" w:rsidP="00E37EBD">
      <w:pPr>
        <w:pStyle w:val="a3"/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D2744">
        <w:rPr>
          <w:rFonts w:ascii="Times New Roman" w:hAnsi="Times New Roman" w:cs="Times New Roman"/>
          <w:b/>
          <w:sz w:val="24"/>
          <w:szCs w:val="24"/>
        </w:rPr>
        <w:t>Результаты анализа, исследования и мониторинга состояния и развития конкурентной среды на рынках товаров, работ и услуг Ленинградской области</w:t>
      </w:r>
    </w:p>
    <w:p w:rsidR="00E37EBD" w:rsidRPr="00FD2744" w:rsidRDefault="00E37EBD" w:rsidP="00E37EB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37EBD" w:rsidRPr="0051281D" w:rsidRDefault="00E37EBD" w:rsidP="00E37EB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Результаты проведенного исследования позволяют констатировать достаточно высокий уровень конкуренции на товарных рынках Ленинградской области. И предприниматели, и потребители отмечают рост представленности на рынках различных хозяйствующих субъектов и увеличение возможности выбора организаций, реализующих социально значимые товары или оказывающих необходимые потребителям работы/услуги. Так:</w:t>
      </w:r>
    </w:p>
    <w:p w:rsidR="00E37EBD" w:rsidRPr="0051281D" w:rsidRDefault="00E37EBD" w:rsidP="00E37E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73% жителей региона отметили, что организаций, предоставляющих товары и услуги на исследуемых рынках Ленинградской области, в целом много или достаточно;</w:t>
      </w:r>
    </w:p>
    <w:p w:rsidR="00E37EBD" w:rsidRPr="0051281D" w:rsidRDefault="00E37EBD" w:rsidP="00E37E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подавляющее большинство (81%) представителей бизнеса в той или иной степени довольны состоянием конкуренции между поставщиками основного закупаемого ими товара (работы, услуги). При этом 56% предпринимателей имеют возможность выбора между четырьмя или более поставщиками; </w:t>
      </w:r>
    </w:p>
    <w:p w:rsidR="00E37EBD" w:rsidRPr="0051281D" w:rsidRDefault="00E37EBD" w:rsidP="00E37E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треть опрошенных хозяйствующих субъектов полагают, что на основном для их сферы бизнеса рынке уровень конкуренции высокий или очень высокий;</w:t>
      </w:r>
    </w:p>
    <w:p w:rsidR="00E37EBD" w:rsidRPr="0051281D" w:rsidRDefault="00E37EBD" w:rsidP="00E37E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согласно информации органов местного самоуправления Ленинградской области,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в 2022 г. по сравнению с 2021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рост доли коммерческих организаций отмечается на 16 из 33 товарных рынков, включенных в перечень товарных рынков для содействия развитию конкуренции.</w:t>
      </w:r>
    </w:p>
    <w:p w:rsidR="00E37EBD" w:rsidRPr="0051281D" w:rsidRDefault="00E37EBD" w:rsidP="00E37EB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За период с 2020 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по настоящее время отмечается также снижение количества жалоб от юридических лиц / предпринимателей на административные барьеры в отдельные надзорные органы. Так, согласно данным Управления Федеральной антимонопольной службы по Ленинградской области, представленным в ответе на запрос № КЭР-1-9832/2022 от 08.11.2022, отмечается значительное снижение количества жалоб от юридических лиц / предпринимателей на административные барьеры (ограничение конкуренции) со стороны органов власти, в </w:t>
      </w:r>
      <w:proofErr w:type="spellStart"/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т.ч</w:t>
      </w:r>
      <w:proofErr w:type="spellEnd"/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. на торгах по ФЗ-44 и иным НПА, а также вследствие заключения </w:t>
      </w:r>
      <w:proofErr w:type="spellStart"/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антиконкурентного</w:t>
      </w:r>
      <w:proofErr w:type="spellEnd"/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соглашения с иными органами власти или хозяйствующими субъектами, неправомерной передачи государственного и муниципального имущества, предоставлен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ия преференций и т.д. (в 2020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2933 обращений, в 2021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– 2197 обращений, за пер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иод с января по октябрь 2022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– 1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460 обращений). </w:t>
      </w:r>
    </w:p>
    <w:p w:rsidR="00E37EBD" w:rsidRPr="0051281D" w:rsidRDefault="00E37EBD" w:rsidP="00E37EB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Общая тенденция к снижению количества поступающих обращений фиксируется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br/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в данных таких структур как Комитет государственного строительного надзора и государственной экспертизы Ленингр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адской области (2020 – 4 026, 2021– 3 350, за три квартала 2022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– 1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967), Северо-Западное управление </w:t>
      </w:r>
      <w:proofErr w:type="spellStart"/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Росприрод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надзора</w:t>
      </w:r>
      <w:proofErr w:type="spellEnd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2020  –</w:t>
      </w:r>
      <w:proofErr w:type="gramEnd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4 302, 2021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– 4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163, за три квартала 2022 г. – 4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048), Северо-Западное у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правление </w:t>
      </w:r>
      <w:proofErr w:type="spellStart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(2020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– 3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492, 2021 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– 3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361, за три квартала 2022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–2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351). Данные, представленные в Докладе о деятельности Уполномоченного по защите прав предпринимателей в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Ленинградской области за </w:t>
      </w:r>
      <w:proofErr w:type="gramStart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2020  и</w:t>
      </w:r>
      <w:proofErr w:type="gramEnd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за 2021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, также иллюстрируют снижение общего количества письменных жалоб и обращений, которые поступили в адрес уполномоченного (с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337 жалоб и обращений в 2020 до 224 в 2021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E37EBD" w:rsidRPr="0051281D" w:rsidRDefault="00E37EBD" w:rsidP="00E37EB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В числе факторов, ограничивающих конкуренцию, необходимо, в первую очередь, отметить: сложную социально экономическую ситуацию, влияющую на все сферы развития экономики, а также на уровень платежеспособности населения, сложности с приобретением сырья и/или оборудования, необходимого для ведения многих направлений бизнеса, недостаточный уровень информированности представителей юридических лиц о возможностях получения государственной поддержки, отдельные сохраняющиеся административные барьеры (наиболее часто в ходе мониторинга назывались такие барьеры, как нестабильность российского </w:t>
      </w:r>
      <w:r w:rsidRPr="0051281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lastRenderedPageBreak/>
        <w:t>законодательства, высокие налоги, которые вынуждены платить предст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авители бизнеса, и коррупция).</w:t>
      </w:r>
    </w:p>
    <w:p w:rsidR="00B21D79" w:rsidRDefault="00B21D79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EBD" w:rsidRPr="005C669C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9C">
        <w:rPr>
          <w:rFonts w:ascii="Times New Roman" w:hAnsi="Times New Roman" w:cs="Times New Roman"/>
          <w:sz w:val="24"/>
          <w:szCs w:val="24"/>
        </w:rPr>
        <w:t xml:space="preserve">За 2022 год установленные ключевые показатели развития конкуренции на рынках согласно Дорожной карте достигнуты, за исключением </w:t>
      </w:r>
      <w:r>
        <w:rPr>
          <w:rFonts w:ascii="Times New Roman" w:hAnsi="Times New Roman" w:cs="Times New Roman"/>
          <w:sz w:val="24"/>
          <w:szCs w:val="24"/>
        </w:rPr>
        <w:t>ситуации на рынке</w:t>
      </w:r>
      <w:r w:rsidRPr="0051281D">
        <w:rPr>
          <w:rFonts w:ascii="Times New Roman" w:hAnsi="Times New Roman" w:cs="Times New Roman"/>
          <w:sz w:val="24"/>
          <w:szCs w:val="24"/>
        </w:rPr>
        <w:t xml:space="preserve"> кадастровых и землеустроительных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669C">
        <w:rPr>
          <w:rFonts w:ascii="Times New Roman" w:hAnsi="Times New Roman" w:cs="Times New Roman"/>
          <w:sz w:val="24"/>
          <w:szCs w:val="24"/>
        </w:rPr>
        <w:t>По состоянию на 31.12.2022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69C">
        <w:rPr>
          <w:rFonts w:ascii="Times New Roman" w:hAnsi="Times New Roman" w:cs="Times New Roman"/>
          <w:sz w:val="24"/>
          <w:szCs w:val="24"/>
        </w:rPr>
        <w:t xml:space="preserve">согласно данным ЕГРЮЛ на территории Ленинградской области зарегистрированы: 27 организаций (в </w:t>
      </w:r>
      <w:proofErr w:type="spellStart"/>
      <w:r w:rsidRPr="005C669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C669C">
        <w:rPr>
          <w:rFonts w:ascii="Times New Roman" w:hAnsi="Times New Roman" w:cs="Times New Roman"/>
          <w:sz w:val="24"/>
          <w:szCs w:val="24"/>
        </w:rPr>
        <w:t xml:space="preserve">. 1 МУП) с основным видом деятельности: «Кадастровая деятельность» и 21 (в </w:t>
      </w:r>
      <w:proofErr w:type="spellStart"/>
      <w:r w:rsidRPr="005C669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C669C">
        <w:rPr>
          <w:rFonts w:ascii="Times New Roman" w:hAnsi="Times New Roman" w:cs="Times New Roman"/>
          <w:sz w:val="24"/>
          <w:szCs w:val="24"/>
        </w:rPr>
        <w:t>. 2 МУП) - «Землеустройство».</w:t>
      </w:r>
    </w:p>
    <w:p w:rsidR="00E37EBD" w:rsidRPr="005C669C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9C">
        <w:rPr>
          <w:rFonts w:ascii="Times New Roman" w:hAnsi="Times New Roman" w:cs="Times New Roman"/>
          <w:sz w:val="24"/>
          <w:szCs w:val="24"/>
        </w:rPr>
        <w:t xml:space="preserve">3 муниципальных унитарных предприятия подлежат ликвидации или преобразованию в иную организационно-правовую форму до </w:t>
      </w:r>
      <w:r>
        <w:rPr>
          <w:rFonts w:ascii="Times New Roman" w:hAnsi="Times New Roman" w:cs="Times New Roman"/>
          <w:sz w:val="24"/>
          <w:szCs w:val="24"/>
        </w:rPr>
        <w:t>31.12.2024 в соответствии с утвержденным</w:t>
      </w:r>
      <w:r w:rsidRPr="005C6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Губернатором Ленинградской области п</w:t>
      </w:r>
      <w:r w:rsidRPr="005C669C">
        <w:rPr>
          <w:rFonts w:ascii="Times New Roman" w:hAnsi="Times New Roman" w:cs="Times New Roman"/>
          <w:sz w:val="24"/>
          <w:szCs w:val="24"/>
        </w:rPr>
        <w:t>ланом мероприятий субъекта Российской Федерации – Ленинградской области по реформированию унитарных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на период до января 2025 года. </w:t>
      </w:r>
      <w:r w:rsidRPr="005C669C">
        <w:rPr>
          <w:rFonts w:ascii="Times New Roman" w:hAnsi="Times New Roman" w:cs="Times New Roman"/>
          <w:sz w:val="24"/>
          <w:szCs w:val="24"/>
        </w:rPr>
        <w:t>В 2022 году среди организаций, осуществляющих основной вид деятельности «Кадастровая деятельность» или «Землеустрой</w:t>
      </w:r>
      <w:bookmarkStart w:id="0" w:name="_GoBack"/>
      <w:bookmarkEnd w:id="0"/>
      <w:r w:rsidRPr="005C669C">
        <w:rPr>
          <w:rFonts w:ascii="Times New Roman" w:hAnsi="Times New Roman" w:cs="Times New Roman"/>
          <w:sz w:val="24"/>
          <w:szCs w:val="24"/>
        </w:rPr>
        <w:t>ство»:</w:t>
      </w:r>
    </w:p>
    <w:p w:rsidR="00E37EBD" w:rsidRPr="005C669C" w:rsidRDefault="00E37EBD" w:rsidP="00E37E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9C">
        <w:rPr>
          <w:rFonts w:ascii="Times New Roman" w:hAnsi="Times New Roman" w:cs="Times New Roman"/>
          <w:sz w:val="24"/>
          <w:szCs w:val="24"/>
        </w:rPr>
        <w:t xml:space="preserve">2 организации созданы, </w:t>
      </w:r>
    </w:p>
    <w:p w:rsidR="00E37EBD" w:rsidRPr="005C669C" w:rsidRDefault="00E37EBD" w:rsidP="00E37E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9C">
        <w:rPr>
          <w:rFonts w:ascii="Times New Roman" w:hAnsi="Times New Roman" w:cs="Times New Roman"/>
          <w:sz w:val="24"/>
          <w:szCs w:val="24"/>
        </w:rPr>
        <w:t xml:space="preserve">2 перерегистрировали юридический адрес в Ленинградской области, </w:t>
      </w:r>
    </w:p>
    <w:p w:rsidR="00E37EBD" w:rsidRPr="005C669C" w:rsidRDefault="00E37EBD" w:rsidP="00E37E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9C">
        <w:rPr>
          <w:rFonts w:ascii="Times New Roman" w:hAnsi="Times New Roman" w:cs="Times New Roman"/>
          <w:sz w:val="24"/>
          <w:szCs w:val="24"/>
        </w:rPr>
        <w:t xml:space="preserve">6 исключены из ЕГРЮЛ, </w:t>
      </w:r>
    </w:p>
    <w:p w:rsidR="00E37EBD" w:rsidRPr="005C669C" w:rsidRDefault="00E37EBD" w:rsidP="00E37E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9C">
        <w:rPr>
          <w:rFonts w:ascii="Times New Roman" w:hAnsi="Times New Roman" w:cs="Times New Roman"/>
          <w:sz w:val="24"/>
          <w:szCs w:val="24"/>
        </w:rPr>
        <w:t xml:space="preserve">5 не ведут финансово-хозяйственную деятельность (по 2 приняты решения о предстоящем исключении из ЕГРЮЛ), </w:t>
      </w:r>
    </w:p>
    <w:p w:rsidR="00E37EBD" w:rsidRPr="005C669C" w:rsidRDefault="00E37EBD" w:rsidP="00E37E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9C">
        <w:rPr>
          <w:rFonts w:ascii="Times New Roman" w:hAnsi="Times New Roman" w:cs="Times New Roman"/>
          <w:sz w:val="24"/>
          <w:szCs w:val="24"/>
        </w:rPr>
        <w:t>по 1 МУП принято решение о преобразовании в ООО.</w:t>
      </w:r>
    </w:p>
    <w:p w:rsidR="00E37EBD" w:rsidRPr="005C669C" w:rsidRDefault="00E37EBD" w:rsidP="00E3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9C">
        <w:rPr>
          <w:rFonts w:ascii="Times New Roman" w:hAnsi="Times New Roman" w:cs="Times New Roman"/>
          <w:sz w:val="24"/>
          <w:szCs w:val="24"/>
        </w:rPr>
        <w:t>Невыполнение планового показателя связано с сокращением количества организаций, зарегистрированных на территории Ленинградской области, находящихся в частной собственности и осуществляющих деятельность в области кадастровых и землеустроительных работ.</w:t>
      </w:r>
    </w:p>
    <w:p w:rsidR="00E37EBD" w:rsidRPr="00694448" w:rsidRDefault="00E37EBD" w:rsidP="00E3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803" w:rsidRDefault="001B3803"/>
    <w:sectPr w:rsidR="001B3803" w:rsidSect="00A67959">
      <w:footerReference w:type="default" r:id="rId16"/>
      <w:pgSz w:w="11906" w:h="16838"/>
      <w:pgMar w:top="1134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42" w:rsidRDefault="00F70A42">
      <w:pPr>
        <w:spacing w:after="0" w:line="240" w:lineRule="auto"/>
      </w:pPr>
      <w:r>
        <w:separator/>
      </w:r>
    </w:p>
  </w:endnote>
  <w:endnote w:type="continuationSeparator" w:id="0">
    <w:p w:rsidR="00F70A42" w:rsidRDefault="00F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84029"/>
      <w:docPartObj>
        <w:docPartGallery w:val="Page Numbers (Bottom of Page)"/>
        <w:docPartUnique/>
      </w:docPartObj>
    </w:sdtPr>
    <w:sdtEndPr/>
    <w:sdtContent>
      <w:p w:rsidR="00B033D8" w:rsidRDefault="00E37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D79">
          <w:rPr>
            <w:noProof/>
          </w:rPr>
          <w:t>5</w:t>
        </w:r>
        <w:r>
          <w:fldChar w:fldCharType="end"/>
        </w:r>
      </w:p>
    </w:sdtContent>
  </w:sdt>
  <w:p w:rsidR="00B033D8" w:rsidRDefault="00F70A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42" w:rsidRDefault="00F70A42">
      <w:pPr>
        <w:spacing w:after="0" w:line="240" w:lineRule="auto"/>
      </w:pPr>
      <w:r>
        <w:separator/>
      </w:r>
    </w:p>
  </w:footnote>
  <w:footnote w:type="continuationSeparator" w:id="0">
    <w:p w:rsidR="00F70A42" w:rsidRDefault="00F7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25D"/>
    <w:multiLevelType w:val="multilevel"/>
    <w:tmpl w:val="B9A6AC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b w:val="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 w:val="0"/>
      </w:rPr>
    </w:lvl>
    <w:lvl w:ilvl="3">
      <w:start w:val="4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  <w:b/>
      </w:rPr>
    </w:lvl>
    <w:lvl w:ilvl="4">
      <w:start w:val="1"/>
      <w:numFmt w:val="decimalZero"/>
      <w:isLgl/>
      <w:lvlText w:val="%1.%2.%3.%4.%5."/>
      <w:lvlJc w:val="left"/>
      <w:pPr>
        <w:ind w:left="1788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 w:val="0"/>
      </w:rPr>
    </w:lvl>
  </w:abstractNum>
  <w:abstractNum w:abstractNumId="1" w15:restartNumberingAfterBreak="0">
    <w:nsid w:val="1C6E5E01"/>
    <w:multiLevelType w:val="hybridMultilevel"/>
    <w:tmpl w:val="30C692CE"/>
    <w:lvl w:ilvl="0" w:tplc="B8B8E24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1751E3"/>
    <w:multiLevelType w:val="multilevel"/>
    <w:tmpl w:val="4BD228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4836D4"/>
    <w:multiLevelType w:val="hybridMultilevel"/>
    <w:tmpl w:val="65DC3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9F4B25"/>
    <w:multiLevelType w:val="hybridMultilevel"/>
    <w:tmpl w:val="C84C8202"/>
    <w:lvl w:ilvl="0" w:tplc="7084E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AA"/>
    <w:rsid w:val="001B3803"/>
    <w:rsid w:val="005814AA"/>
    <w:rsid w:val="00B21D79"/>
    <w:rsid w:val="00E37EBD"/>
    <w:rsid w:val="00F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7DC3C-683E-4AE5-8E2F-246FCA3D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Список нумерованный цифры,Абзац списка2,Bullet List,FooterText,numbered,Table-Normal,RSHB_Table-Normal,Paragraphe de liste1,lp1,ПАРАГРАФ,SL_Абзац списка,Нумерованый список,СпБезКС,Use Case List Paragraph,1,UL"/>
    <w:basedOn w:val="a"/>
    <w:link w:val="a4"/>
    <w:uiPriority w:val="34"/>
    <w:qFormat/>
    <w:rsid w:val="00E37EB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3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E37EBD"/>
  </w:style>
  <w:style w:type="character" w:customStyle="1" w:styleId="a4">
    <w:name w:val="Абзац списка Знак"/>
    <w:aliases w:val="Варианты ответов Знак,Список нумерованный цифры Знак,Абзац списка2 Знак,Bullet List Знак,FooterText Знак,numbered Знак,Table-Normal Знак,RSHB_Table-Normal Знак,Paragraphe de liste1 Знак,lp1 Знак,ПАРАГРАФ Знак,SL_Абзац списка Знак"/>
    <w:link w:val="a3"/>
    <w:uiPriority w:val="34"/>
    <w:qFormat/>
    <w:locked/>
    <w:rsid w:val="00E37EBD"/>
  </w:style>
  <w:style w:type="character" w:styleId="a7">
    <w:name w:val="Hyperlink"/>
    <w:basedOn w:val="a0"/>
    <w:uiPriority w:val="99"/>
    <w:unhideWhenUsed/>
    <w:rsid w:val="00E37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entus.ru/okved/razdel-f/" TargetMode="External"/><Relationship Id="rId13" Type="http://schemas.openxmlformats.org/officeDocument/2006/relationships/hyperlink" Target="https://assistentus.ru/okved/razdel-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n.lenobl.ru/ru/budget/competition/standard/monitoringa-sostoyaniya-i-razvitiya-konkurentnoj-sredy-na-rynkah-tovar/" TargetMode="External"/><Relationship Id="rId12" Type="http://schemas.openxmlformats.org/officeDocument/2006/relationships/hyperlink" Target="https://assistentus.ru/okved/razdel-j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istentus.ru/okved/razdel-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ssistentus.ru/okved/razdel-q/" TargetMode="External"/><Relationship Id="rId10" Type="http://schemas.openxmlformats.org/officeDocument/2006/relationships/hyperlink" Target="https://assistentus.ru/okved/razdel-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istentus.ru/okved/razdel-h/" TargetMode="External"/><Relationship Id="rId14" Type="http://schemas.openxmlformats.org/officeDocument/2006/relationships/hyperlink" Target="https://assistentus.ru/okved/razdel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2176</Words>
  <Characters>12405</Characters>
  <Application>Microsoft Office Word</Application>
  <DocSecurity>0</DocSecurity>
  <Lines>103</Lines>
  <Paragraphs>29</Paragraphs>
  <ScaleCrop>false</ScaleCrop>
  <Company/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Елена Николаевна Русанова</cp:lastModifiedBy>
  <cp:revision>3</cp:revision>
  <dcterms:created xsi:type="dcterms:W3CDTF">2023-04-10T11:26:00Z</dcterms:created>
  <dcterms:modified xsi:type="dcterms:W3CDTF">2023-06-06T11:44:00Z</dcterms:modified>
</cp:coreProperties>
</file>